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DE" w:rsidRPr="00086549" w:rsidRDefault="00086549" w:rsidP="00086549">
      <w:pPr>
        <w:jc w:val="center"/>
        <w:rPr>
          <w:rFonts w:ascii="Times New Roman" w:hAnsi="Times New Roman" w:cs="Times New Roman"/>
          <w:b/>
          <w:sz w:val="32"/>
          <w:szCs w:val="32"/>
          <w:lang w:val="es-CO"/>
        </w:rPr>
      </w:pPr>
      <w:r>
        <w:rPr>
          <w:rFonts w:ascii="Times New Roman" w:hAnsi="Times New Roman" w:cs="Times New Roman"/>
          <w:b/>
          <w:sz w:val="32"/>
          <w:szCs w:val="32"/>
          <w:lang w:val="es-CO"/>
        </w:rPr>
        <w:t>REPORTE</w:t>
      </w:r>
      <w:r w:rsidR="00F345DE" w:rsidRPr="00086549">
        <w:rPr>
          <w:rFonts w:ascii="Times New Roman" w:hAnsi="Times New Roman" w:cs="Times New Roman"/>
          <w:b/>
          <w:sz w:val="32"/>
          <w:szCs w:val="32"/>
          <w:lang w:val="es-CO"/>
        </w:rPr>
        <w:t>: Las grandes tabacaleras intensifican su in</w:t>
      </w:r>
      <w:r>
        <w:rPr>
          <w:rFonts w:ascii="Times New Roman" w:hAnsi="Times New Roman" w:cs="Times New Roman"/>
          <w:b/>
          <w:sz w:val="32"/>
          <w:szCs w:val="32"/>
          <w:lang w:val="es-CO"/>
        </w:rPr>
        <w:t>terferencia</w:t>
      </w:r>
      <w:r w:rsidR="00F345DE" w:rsidRPr="00086549">
        <w:rPr>
          <w:rFonts w:ascii="Times New Roman" w:hAnsi="Times New Roman" w:cs="Times New Roman"/>
          <w:b/>
          <w:sz w:val="32"/>
          <w:szCs w:val="32"/>
          <w:lang w:val="es-CO"/>
        </w:rPr>
        <w:t xml:space="preserve"> en la formulación de políticas públicas en América Latina y el Caribe</w:t>
      </w:r>
    </w:p>
    <w:p w:rsidR="00F345DE" w:rsidRPr="00086549" w:rsidRDefault="00F345DE" w:rsidP="00086549">
      <w:pPr>
        <w:jc w:val="center"/>
        <w:rPr>
          <w:rFonts w:ascii="Times New Roman" w:hAnsi="Times New Roman" w:cs="Times New Roman"/>
          <w:sz w:val="28"/>
          <w:szCs w:val="28"/>
          <w:lang w:val="es-CO"/>
        </w:rPr>
      </w:pPr>
      <w:r w:rsidRPr="00086549">
        <w:rPr>
          <w:rFonts w:ascii="Times New Roman" w:hAnsi="Times New Roman" w:cs="Times New Roman"/>
          <w:sz w:val="28"/>
          <w:szCs w:val="28"/>
          <w:lang w:val="es-CO"/>
        </w:rPr>
        <w:t xml:space="preserve">El Índice Regional clasifica a 19 países; muestra una tendencia al empeoramiento en vísperas de las negociaciones del tratado mundial sobre el </w:t>
      </w:r>
      <w:r w:rsidR="00086549">
        <w:rPr>
          <w:rFonts w:ascii="Times New Roman" w:hAnsi="Times New Roman" w:cs="Times New Roman"/>
          <w:sz w:val="28"/>
          <w:szCs w:val="28"/>
          <w:lang w:val="es-CO"/>
        </w:rPr>
        <w:t xml:space="preserve">control del </w:t>
      </w:r>
      <w:r w:rsidRPr="00086549">
        <w:rPr>
          <w:rFonts w:ascii="Times New Roman" w:hAnsi="Times New Roman" w:cs="Times New Roman"/>
          <w:sz w:val="28"/>
          <w:szCs w:val="28"/>
          <w:lang w:val="es-CO"/>
        </w:rPr>
        <w:t>tabaco</w:t>
      </w:r>
    </w:p>
    <w:p w:rsidR="00F345DE" w:rsidRPr="00086549" w:rsidRDefault="00F345DE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086549">
        <w:rPr>
          <w:rFonts w:ascii="Times New Roman" w:hAnsi="Times New Roman" w:cs="Times New Roman"/>
          <w:b/>
          <w:sz w:val="24"/>
          <w:szCs w:val="24"/>
          <w:lang w:val="es-CO"/>
        </w:rPr>
        <w:t>Quito, Ecuador y Bangkok, Tailandia -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Las poderosas corporaciones tabacaleras han aumentado su influencia en los gobiernos de toda América Latina y el Caribe, obstaculizando los esfuerzos para reducir el consumo de tabaco y responsabilizar a la industria tabacalera (IT) por sus daños, según un nuevo informe.</w:t>
      </w:r>
    </w:p>
    <w:p w:rsidR="0098711E" w:rsidRPr="00086549" w:rsidRDefault="00F345DE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El </w:t>
      </w:r>
      <w:hyperlink r:id="rId5" w:history="1">
        <w:r w:rsidRPr="00086549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Índice Regional de Interferencia de la Industria Tabacalera 2023</w:t>
        </w:r>
      </w:hyperlink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, el tercero de su serie, evalúa los esfuerzos de los países para proteger las políticas de salud pública de los intereses de la IT, según lo dispuesto por el </w:t>
      </w:r>
      <w:hyperlink r:id="rId6" w:history="1">
        <w:r w:rsidRPr="00086549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artículo 5.3</w:t>
        </w:r>
      </w:hyperlink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del </w:t>
      </w:r>
      <w:hyperlink r:id="rId7" w:history="1">
        <w:r w:rsidRPr="00086549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Convenio Marco de la OMS para el Control del Tabaco (CMCT de la OMS)</w:t>
        </w:r>
      </w:hyperlink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. Utilizó </w:t>
      </w:r>
      <w:r w:rsidR="001842C8">
        <w:rPr>
          <w:rFonts w:ascii="Times New Roman" w:hAnsi="Times New Roman" w:cs="Times New Roman"/>
          <w:sz w:val="24"/>
          <w:szCs w:val="24"/>
          <w:lang w:val="es-CO"/>
        </w:rPr>
        <w:t>reportes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de la sociedad civil basados en información disponible públicamente sobre la interferencia de la industria tabacalera en los países y sus respectivos gobiernos, cubriendo el periodo de abril de 2021 a marzo de 2023. El índice ha sido elaborado por </w:t>
      </w:r>
      <w:hyperlink r:id="rId8" w:history="1">
        <w:proofErr w:type="spellStart"/>
        <w:r w:rsidRPr="001842C8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Corporate</w:t>
        </w:r>
        <w:proofErr w:type="spellEnd"/>
        <w:r w:rsidRPr="001842C8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 xml:space="preserve"> </w:t>
        </w:r>
        <w:proofErr w:type="spellStart"/>
        <w:r w:rsidRPr="001842C8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Accountability</w:t>
        </w:r>
        <w:proofErr w:type="spellEnd"/>
      </w:hyperlink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y el </w:t>
      </w:r>
      <w:hyperlink r:id="rId9" w:history="1">
        <w:r w:rsidR="001842C8" w:rsidRPr="001842C8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Centro Global para la Buena Gobernanza en el Control del Tabaco</w:t>
        </w:r>
      </w:hyperlink>
      <w:r w:rsidR="001842C8" w:rsidRPr="001842C8">
        <w:rPr>
          <w:rFonts w:ascii="Times New Roman" w:hAnsi="Times New Roman" w:cs="Times New Roman"/>
          <w:sz w:val="24"/>
          <w:szCs w:val="24"/>
          <w:lang w:val="es-CO"/>
        </w:rPr>
        <w:t xml:space="preserve"> (GGTC</w:t>
      </w:r>
      <w:r w:rsidR="001842C8">
        <w:rPr>
          <w:rFonts w:ascii="Times New Roman" w:hAnsi="Times New Roman" w:cs="Times New Roman"/>
          <w:sz w:val="24"/>
          <w:szCs w:val="24"/>
          <w:lang w:val="es-CO"/>
        </w:rPr>
        <w:t xml:space="preserve"> por sus siglas en inglés</w:t>
      </w:r>
      <w:r w:rsidR="001842C8" w:rsidRPr="001842C8">
        <w:rPr>
          <w:rFonts w:ascii="Times New Roman" w:hAnsi="Times New Roman" w:cs="Times New Roman"/>
          <w:sz w:val="24"/>
          <w:szCs w:val="24"/>
          <w:lang w:val="es-CO"/>
        </w:rPr>
        <w:t>)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, con el apoyo de </w:t>
      </w:r>
      <w:proofErr w:type="spellStart"/>
      <w:r w:rsidRPr="00086549">
        <w:rPr>
          <w:rFonts w:ascii="Times New Roman" w:hAnsi="Times New Roman" w:cs="Times New Roman"/>
          <w:sz w:val="24"/>
          <w:szCs w:val="24"/>
          <w:lang w:val="es-CO"/>
        </w:rPr>
        <w:t>Bloomberg</w:t>
      </w:r>
      <w:proofErr w:type="spellEnd"/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086549">
        <w:rPr>
          <w:rFonts w:ascii="Times New Roman" w:hAnsi="Times New Roman" w:cs="Times New Roman"/>
          <w:sz w:val="24"/>
          <w:szCs w:val="24"/>
          <w:lang w:val="es-CO"/>
        </w:rPr>
        <w:t>Philanthropies</w:t>
      </w:r>
      <w:proofErr w:type="spellEnd"/>
      <w:r w:rsidRPr="00086549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F345DE" w:rsidRPr="00086549" w:rsidRDefault="00F345DE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086549">
        <w:rPr>
          <w:rFonts w:ascii="Times New Roman" w:hAnsi="Times New Roman" w:cs="Times New Roman"/>
          <w:sz w:val="24"/>
          <w:szCs w:val="24"/>
          <w:lang w:val="es-CO"/>
        </w:rPr>
        <w:t>De los 19 países analizados, sólo 6 mejoraron su puntuación (</w:t>
      </w:r>
      <w:r w:rsidRPr="001842C8">
        <w:rPr>
          <w:rFonts w:ascii="Times New Roman" w:hAnsi="Times New Roman" w:cs="Times New Roman"/>
          <w:b/>
          <w:sz w:val="24"/>
          <w:szCs w:val="24"/>
          <w:lang w:val="es-CO"/>
        </w:rPr>
        <w:t>Panamá, Nicaragua, México, Ecuador, Guatemala y Argentina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>) y uno se mantuvo estable (</w:t>
      </w:r>
      <w:r w:rsidRPr="001842C8">
        <w:rPr>
          <w:rFonts w:ascii="Times New Roman" w:hAnsi="Times New Roman" w:cs="Times New Roman"/>
          <w:b/>
          <w:sz w:val="24"/>
          <w:szCs w:val="24"/>
          <w:lang w:val="es-CO"/>
        </w:rPr>
        <w:t>Venezuela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) en comparación con el </w:t>
      </w:r>
      <w:hyperlink r:id="rId10" w:history="1">
        <w:r w:rsidRPr="001842C8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último índice de 2021</w:t>
        </w:r>
      </w:hyperlink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. Los 11 países restantes mostraron un deterioro en sus esfuerzos por salvaguardar la formulación de políticas de la interferencia de </w:t>
      </w:r>
      <w:r w:rsidR="001842C8">
        <w:rPr>
          <w:rFonts w:ascii="Times New Roman" w:hAnsi="Times New Roman" w:cs="Times New Roman"/>
          <w:sz w:val="24"/>
          <w:szCs w:val="24"/>
          <w:lang w:val="es-CO"/>
        </w:rPr>
        <w:t xml:space="preserve">la 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>I</w:t>
      </w:r>
      <w:r w:rsidR="001842C8">
        <w:rPr>
          <w:rFonts w:ascii="Times New Roman" w:hAnsi="Times New Roman" w:cs="Times New Roman"/>
          <w:sz w:val="24"/>
          <w:szCs w:val="24"/>
          <w:lang w:val="es-CO"/>
        </w:rPr>
        <w:t>T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(</w:t>
      </w:r>
      <w:r w:rsidRPr="001842C8">
        <w:rPr>
          <w:rFonts w:ascii="Times New Roman" w:hAnsi="Times New Roman" w:cs="Times New Roman"/>
          <w:b/>
          <w:sz w:val="24"/>
          <w:szCs w:val="24"/>
          <w:lang w:val="es-CO"/>
        </w:rPr>
        <w:t>Costa Rica, Perú, Chile, El Salvador, Uruguay, Brasil, Bolivia, Honduras, Paraguay, Colombia y República Dominicana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>). Un país (</w:t>
      </w:r>
      <w:r w:rsidRPr="001842C8">
        <w:rPr>
          <w:rFonts w:ascii="Times New Roman" w:hAnsi="Times New Roman" w:cs="Times New Roman"/>
          <w:b/>
          <w:sz w:val="24"/>
          <w:szCs w:val="24"/>
          <w:lang w:val="es-CO"/>
        </w:rPr>
        <w:t>Jamaica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>) fue incluido en el índice por primera vez.</w:t>
      </w:r>
    </w:p>
    <w:p w:rsidR="00F345DE" w:rsidRPr="00086549" w:rsidRDefault="001842C8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“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En América Latina hubo más países que empeoraron en comparación con los que mejoraron. Las grandes tabacaleras quieren ampliar su mercado en los </w:t>
      </w:r>
      <w:r>
        <w:rPr>
          <w:rFonts w:ascii="Times New Roman" w:hAnsi="Times New Roman" w:cs="Times New Roman"/>
          <w:sz w:val="24"/>
          <w:szCs w:val="24"/>
          <w:lang w:val="es-CO"/>
        </w:rPr>
        <w:t>países latinoamericanos; se ha observado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el aumento en 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>la venta de cigarrillos electrónicos y productos de tabaco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emergentes. P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>or lo que ha aumentado su in</w:t>
      </w:r>
      <w:r>
        <w:rPr>
          <w:rFonts w:ascii="Times New Roman" w:hAnsi="Times New Roman" w:cs="Times New Roman"/>
          <w:sz w:val="24"/>
          <w:szCs w:val="24"/>
          <w:lang w:val="es-CO"/>
        </w:rPr>
        <w:t>t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>er</w:t>
      </w:r>
      <w:r>
        <w:rPr>
          <w:rFonts w:ascii="Times New Roman" w:hAnsi="Times New Roman" w:cs="Times New Roman"/>
          <w:sz w:val="24"/>
          <w:szCs w:val="24"/>
          <w:lang w:val="es-CO"/>
        </w:rPr>
        <w:t>ferencia”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="00F345DE" w:rsidRPr="003E5CA8">
        <w:rPr>
          <w:rFonts w:ascii="Times New Roman" w:hAnsi="Times New Roman" w:cs="Times New Roman"/>
          <w:b/>
          <w:sz w:val="24"/>
          <w:szCs w:val="24"/>
          <w:lang w:val="es-CO"/>
        </w:rPr>
        <w:t xml:space="preserve">afirmó Laura Salgado, </w:t>
      </w: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t>jefa de Campañas y Alianzas de GGTC.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“</w:t>
      </w:r>
      <w:r w:rsidR="003E5CA8" w:rsidRPr="003E5CA8">
        <w:rPr>
          <w:rFonts w:ascii="Times New Roman" w:hAnsi="Times New Roman" w:cs="Times New Roman"/>
          <w:sz w:val="24"/>
          <w:szCs w:val="24"/>
          <w:lang w:val="es-CO"/>
        </w:rPr>
        <w:t xml:space="preserve">También </w:t>
      </w:r>
      <w:r w:rsidR="00D12C09">
        <w:rPr>
          <w:rFonts w:ascii="Times New Roman" w:hAnsi="Times New Roman" w:cs="Times New Roman"/>
          <w:sz w:val="24"/>
          <w:szCs w:val="24"/>
          <w:lang w:val="es-CO"/>
        </w:rPr>
        <w:t>apuntan</w:t>
      </w:r>
      <w:bookmarkStart w:id="0" w:name="_GoBack"/>
      <w:bookmarkEnd w:id="0"/>
      <w:r w:rsidR="003E5CA8" w:rsidRPr="003E5CA8">
        <w:rPr>
          <w:rFonts w:ascii="Times New Roman" w:hAnsi="Times New Roman" w:cs="Times New Roman"/>
          <w:sz w:val="24"/>
          <w:szCs w:val="24"/>
          <w:lang w:val="es-CO"/>
        </w:rPr>
        <w:t xml:space="preserve"> a países con fuertes medidas de control del tabaco, como Uruguay, 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que </w:t>
      </w:r>
      <w:r w:rsidR="003E5CA8">
        <w:rPr>
          <w:rFonts w:ascii="Times New Roman" w:hAnsi="Times New Roman" w:cs="Times New Roman"/>
          <w:sz w:val="24"/>
          <w:szCs w:val="24"/>
          <w:lang w:val="es-CO"/>
        </w:rPr>
        <w:t>se enfrenta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3E5CA8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una avalancha de </w:t>
      </w:r>
      <w:r w:rsidR="003E5CA8" w:rsidRPr="00086549">
        <w:rPr>
          <w:rFonts w:ascii="Times New Roman" w:hAnsi="Times New Roman" w:cs="Times New Roman"/>
          <w:sz w:val="24"/>
          <w:szCs w:val="24"/>
          <w:lang w:val="es-CO"/>
        </w:rPr>
        <w:t>in</w:t>
      </w:r>
      <w:r w:rsidR="003E5CA8">
        <w:rPr>
          <w:rFonts w:ascii="Times New Roman" w:hAnsi="Times New Roman" w:cs="Times New Roman"/>
          <w:sz w:val="24"/>
          <w:szCs w:val="24"/>
          <w:lang w:val="es-CO"/>
        </w:rPr>
        <w:t>terferencias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>. Pero la región tiene una fuerte volu</w:t>
      </w:r>
      <w:r w:rsidR="003E5CA8">
        <w:rPr>
          <w:rFonts w:ascii="Times New Roman" w:hAnsi="Times New Roman" w:cs="Times New Roman"/>
          <w:sz w:val="24"/>
          <w:szCs w:val="24"/>
          <w:lang w:val="es-CO"/>
        </w:rPr>
        <w:t xml:space="preserve">ntad política. Pueden abordar las medidas de 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control del tabaco porque en el pasado demostraron una fuerte </w:t>
      </w:r>
      <w:r w:rsidR="003E5CA8">
        <w:rPr>
          <w:rFonts w:ascii="Times New Roman" w:hAnsi="Times New Roman" w:cs="Times New Roman"/>
          <w:sz w:val="24"/>
          <w:szCs w:val="24"/>
          <w:lang w:val="es-CO"/>
        </w:rPr>
        <w:t>voluntad política para hacerlo.”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F345DE" w:rsidRPr="00086549" w:rsidRDefault="00F345DE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Los países se puntuaron en una </w:t>
      </w: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t>escala de 0 a 100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>, en la que las puntuaciones más altas indican una mayor interferencia de la industria tabacalera. Las principales conclusiones son las siguientes:</w:t>
      </w:r>
    </w:p>
    <w:p w:rsidR="003E5CA8" w:rsidRDefault="00F345DE" w:rsidP="007B34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t>Panamá</w:t>
      </w:r>
      <w:r w:rsidRPr="003E5CA8">
        <w:rPr>
          <w:rFonts w:ascii="Times New Roman" w:hAnsi="Times New Roman" w:cs="Times New Roman"/>
          <w:sz w:val="24"/>
          <w:szCs w:val="24"/>
          <w:lang w:val="es-CO"/>
        </w:rPr>
        <w:t xml:space="preserve">, país anfitrión de la próxima </w:t>
      </w:r>
      <w:hyperlink r:id="rId11" w:history="1">
        <w:r w:rsidRPr="003E5CA8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Conferencia de las Partes del CMCT de la OMS (COP10) y de la tercera Reunión de las Partes (MOP3)</w:t>
        </w:r>
      </w:hyperlink>
      <w:r w:rsidRPr="003E5CA8">
        <w:rPr>
          <w:rFonts w:ascii="Times New Roman" w:hAnsi="Times New Roman" w:cs="Times New Roman"/>
          <w:sz w:val="24"/>
          <w:szCs w:val="24"/>
          <w:lang w:val="es-CO"/>
        </w:rPr>
        <w:t>, ocupó el me</w:t>
      </w:r>
      <w:r w:rsidR="003E5CA8">
        <w:rPr>
          <w:rFonts w:ascii="Times New Roman" w:hAnsi="Times New Roman" w:cs="Times New Roman"/>
          <w:sz w:val="24"/>
          <w:szCs w:val="24"/>
          <w:lang w:val="es-CO"/>
        </w:rPr>
        <w:t>jor puesto del grupo, seguido por</w:t>
      </w:r>
      <w:r w:rsidRPr="003E5CA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t>Nicaragua, Jamaica y México.</w:t>
      </w:r>
      <w:r w:rsidRPr="003E5CA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3E5CA8" w:rsidRDefault="00F345DE" w:rsidP="007B34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t>República Dominicana</w:t>
      </w:r>
      <w:r w:rsidRPr="003E5CA8">
        <w:rPr>
          <w:rFonts w:ascii="Times New Roman" w:hAnsi="Times New Roman" w:cs="Times New Roman"/>
          <w:sz w:val="24"/>
          <w:szCs w:val="24"/>
          <w:lang w:val="es-CO"/>
        </w:rPr>
        <w:t xml:space="preserve"> ocupó el peor lugar por segundo año consecutivo -tanto en la región como a </w:t>
      </w:r>
      <w:hyperlink r:id="rId12" w:history="1">
        <w:r w:rsidRPr="003E5CA8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escala mundial</w:t>
        </w:r>
      </w:hyperlink>
      <w:r w:rsidRPr="003E5CA8">
        <w:rPr>
          <w:rFonts w:ascii="Times New Roman" w:hAnsi="Times New Roman" w:cs="Times New Roman"/>
          <w:sz w:val="24"/>
          <w:szCs w:val="24"/>
          <w:lang w:val="es-CO"/>
        </w:rPr>
        <w:t xml:space="preserve">-, con una puntuación máxima de interferencia de 100 sobre 100. </w:t>
      </w:r>
    </w:p>
    <w:p w:rsidR="00F345DE" w:rsidRPr="003E5CA8" w:rsidRDefault="00F345DE" w:rsidP="007B34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lastRenderedPageBreak/>
        <w:t>Costa Rica, Honduras y Uruguay</w:t>
      </w:r>
      <w:r w:rsidRPr="003E5CA8">
        <w:rPr>
          <w:rFonts w:ascii="Times New Roman" w:hAnsi="Times New Roman" w:cs="Times New Roman"/>
          <w:sz w:val="24"/>
          <w:szCs w:val="24"/>
          <w:lang w:val="es-CO"/>
        </w:rPr>
        <w:t xml:space="preserve"> mostraron el peor deterioro desde 2021, mientras que </w:t>
      </w: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t xml:space="preserve">Panamá </w:t>
      </w:r>
      <w:r w:rsidRPr="003E5CA8">
        <w:rPr>
          <w:rFonts w:ascii="Times New Roman" w:hAnsi="Times New Roman" w:cs="Times New Roman"/>
          <w:sz w:val="24"/>
          <w:szCs w:val="24"/>
          <w:lang w:val="es-CO"/>
        </w:rPr>
        <w:t xml:space="preserve">fue el país que más mejoró. </w:t>
      </w:r>
    </w:p>
    <w:p w:rsidR="00F345DE" w:rsidRPr="00086549" w:rsidRDefault="003E5CA8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“</w:t>
      </w:r>
      <w:r w:rsidRPr="003E5CA8">
        <w:rPr>
          <w:rFonts w:ascii="Times New Roman" w:hAnsi="Times New Roman" w:cs="Times New Roman"/>
          <w:sz w:val="24"/>
          <w:szCs w:val="24"/>
          <w:lang w:val="es-CO"/>
        </w:rPr>
        <w:t>En el PNUD estamos utilizando los hallazgos del índice para dar forma a los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estudios de</w:t>
      </w:r>
      <w:r w:rsidRPr="003E5CA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hyperlink r:id="rId13" w:history="1">
        <w:r w:rsidRPr="003E5CA8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casos de inversión en el control del tabaco</w:t>
        </w:r>
      </w:hyperlink>
      <w:r w:rsidRPr="003E5CA8">
        <w:rPr>
          <w:rFonts w:ascii="Times New Roman" w:hAnsi="Times New Roman" w:cs="Times New Roman"/>
          <w:sz w:val="24"/>
          <w:szCs w:val="24"/>
          <w:lang w:val="es-CO"/>
        </w:rPr>
        <w:t>. Hemos observado que abordar la interferencia de la industria ahora tiene cuatro veces más prioridad en los casos de inversión que en 2018. Todavía tenemos trabajo por hacer para ayudar a los países para que protejan sus políticas de salud de la interferencia de la industria</w:t>
      </w:r>
      <w:r>
        <w:rPr>
          <w:rFonts w:ascii="Times New Roman" w:hAnsi="Times New Roman" w:cs="Times New Roman"/>
          <w:sz w:val="24"/>
          <w:szCs w:val="24"/>
          <w:lang w:val="es-CO"/>
        </w:rPr>
        <w:t>”,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dijo </w:t>
      </w:r>
      <w:proofErr w:type="spellStart"/>
      <w:r w:rsidR="00F345DE" w:rsidRPr="003E5CA8">
        <w:rPr>
          <w:rFonts w:ascii="Times New Roman" w:hAnsi="Times New Roman" w:cs="Times New Roman"/>
          <w:b/>
          <w:sz w:val="24"/>
          <w:szCs w:val="24"/>
          <w:lang w:val="es-CO"/>
        </w:rPr>
        <w:t>Dudley</w:t>
      </w:r>
      <w:proofErr w:type="spellEnd"/>
      <w:r w:rsidR="00F345DE" w:rsidRPr="003E5CA8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proofErr w:type="spellStart"/>
      <w:r w:rsidR="00F345DE" w:rsidRPr="003E5CA8">
        <w:rPr>
          <w:rFonts w:ascii="Times New Roman" w:hAnsi="Times New Roman" w:cs="Times New Roman"/>
          <w:b/>
          <w:sz w:val="24"/>
          <w:szCs w:val="24"/>
          <w:lang w:val="es-CO"/>
        </w:rPr>
        <w:t>Tarlton</w:t>
      </w:r>
      <w:proofErr w:type="spellEnd"/>
      <w:r w:rsidR="00F345DE" w:rsidRPr="003E5CA8">
        <w:rPr>
          <w:rFonts w:ascii="Times New Roman" w:hAnsi="Times New Roman" w:cs="Times New Roman"/>
          <w:b/>
          <w:sz w:val="24"/>
          <w:szCs w:val="24"/>
          <w:lang w:val="es-CO"/>
        </w:rPr>
        <w:t>, Especialista del Programa de las Naciones Unidas para el Desarrollo (PNUD)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F345DE" w:rsidRPr="00086549" w:rsidRDefault="00F345DE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t>Ningún país analizado fue inmune a los esfuerzos de la industria tabacalera por influir en</w:t>
      </w:r>
      <w:r w:rsidR="00806544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el desarrollo e implementación de</w:t>
      </w: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t xml:space="preserve"> la</w:t>
      </w:r>
      <w:r w:rsidR="00806544">
        <w:rPr>
          <w:rFonts w:ascii="Times New Roman" w:hAnsi="Times New Roman" w:cs="Times New Roman"/>
          <w:b/>
          <w:sz w:val="24"/>
          <w:szCs w:val="24"/>
          <w:lang w:val="es-CO"/>
        </w:rPr>
        <w:t>s</w:t>
      </w: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t xml:space="preserve"> política</w:t>
      </w:r>
      <w:r w:rsidR="00806544">
        <w:rPr>
          <w:rFonts w:ascii="Times New Roman" w:hAnsi="Times New Roman" w:cs="Times New Roman"/>
          <w:b/>
          <w:sz w:val="24"/>
          <w:szCs w:val="24"/>
          <w:lang w:val="es-CO"/>
        </w:rPr>
        <w:t xml:space="preserve">s públicas, </w:t>
      </w: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t xml:space="preserve">y en los responsables políticos </w:t>
      </w:r>
      <w:r w:rsidR="00806544">
        <w:rPr>
          <w:rFonts w:ascii="Times New Roman" w:hAnsi="Times New Roman" w:cs="Times New Roman"/>
          <w:b/>
          <w:sz w:val="24"/>
          <w:szCs w:val="24"/>
          <w:lang w:val="es-CO"/>
        </w:rPr>
        <w:t>para</w:t>
      </w:r>
      <w:r w:rsidRPr="003E5CA8">
        <w:rPr>
          <w:rFonts w:ascii="Times New Roman" w:hAnsi="Times New Roman" w:cs="Times New Roman"/>
          <w:b/>
          <w:sz w:val="24"/>
          <w:szCs w:val="24"/>
          <w:lang w:val="es-CO"/>
        </w:rPr>
        <w:t xml:space="preserve"> su beneficio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, con tácticas que incluyen grupos de </w:t>
      </w:r>
      <w:r w:rsidR="00806544">
        <w:rPr>
          <w:rFonts w:ascii="Times New Roman" w:hAnsi="Times New Roman" w:cs="Times New Roman"/>
          <w:sz w:val="24"/>
          <w:szCs w:val="24"/>
          <w:lang w:val="es-CO"/>
        </w:rPr>
        <w:t>lobby o cabildeo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>, financiación de estudios científicos, aportaciones</w:t>
      </w:r>
      <w:r w:rsidR="00806544">
        <w:rPr>
          <w:rFonts w:ascii="Times New Roman" w:hAnsi="Times New Roman" w:cs="Times New Roman"/>
          <w:sz w:val="24"/>
          <w:szCs w:val="24"/>
          <w:lang w:val="es-CO"/>
        </w:rPr>
        <w:t xml:space="preserve"> a campañas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políticas, reclutamiento de altos </w:t>
      </w:r>
      <w:r w:rsidR="00806544">
        <w:rPr>
          <w:rFonts w:ascii="Times New Roman" w:hAnsi="Times New Roman" w:cs="Times New Roman"/>
          <w:sz w:val="24"/>
          <w:szCs w:val="24"/>
          <w:lang w:val="es-CO"/>
        </w:rPr>
        <w:t>funcionarios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gubernamental</w:t>
      </w:r>
      <w:r w:rsidR="00806544">
        <w:rPr>
          <w:rFonts w:ascii="Times New Roman" w:hAnsi="Times New Roman" w:cs="Times New Roman"/>
          <w:sz w:val="24"/>
          <w:szCs w:val="24"/>
          <w:lang w:val="es-CO"/>
        </w:rPr>
        <w:t>es e impulso de iniciativas de “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>responsabilidad social corporativa</w:t>
      </w:r>
      <w:r w:rsidR="00806544">
        <w:rPr>
          <w:rFonts w:ascii="Times New Roman" w:hAnsi="Times New Roman" w:cs="Times New Roman"/>
          <w:sz w:val="24"/>
          <w:szCs w:val="24"/>
          <w:lang w:val="es-CO"/>
        </w:rPr>
        <w:t xml:space="preserve"> o empresarial”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como la</w:t>
      </w:r>
      <w:r w:rsidR="00806544">
        <w:rPr>
          <w:rFonts w:ascii="Times New Roman" w:hAnsi="Times New Roman" w:cs="Times New Roman"/>
          <w:sz w:val="24"/>
          <w:szCs w:val="24"/>
          <w:lang w:val="es-CO"/>
        </w:rPr>
        <w:t>s campañas de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limpieza de colillas. </w:t>
      </w:r>
    </w:p>
    <w:p w:rsidR="00F345DE" w:rsidRPr="00086549" w:rsidRDefault="00806544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“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>Las grandes tabacaleras utilizan la 'responsabilidad social corporativa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o empresarial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' en un intento de limpiar su imagen mientras continúan con </w:t>
      </w:r>
      <w:r>
        <w:rPr>
          <w:rFonts w:ascii="Times New Roman" w:hAnsi="Times New Roman" w:cs="Times New Roman"/>
          <w:sz w:val="24"/>
          <w:szCs w:val="24"/>
          <w:lang w:val="es-CO"/>
        </w:rPr>
        <w:t>su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sucio negocio de siempre. Las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escasas 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limosnas de la industria no son nada comparadas con el coste de los daños que causan a las personas y al planeta, ni con los miles de millones en beneficios que obtienen cada año", ha declarado </w:t>
      </w:r>
      <w:r w:rsidR="00F345DE" w:rsidRPr="00806544">
        <w:rPr>
          <w:rFonts w:ascii="Times New Roman" w:hAnsi="Times New Roman" w:cs="Times New Roman"/>
          <w:b/>
          <w:sz w:val="24"/>
          <w:szCs w:val="24"/>
          <w:lang w:val="es-CO"/>
        </w:rPr>
        <w:t xml:space="preserve">Daniel Dorado, Director de la Campaña </w:t>
      </w:r>
      <w:r w:rsidRPr="00806544">
        <w:rPr>
          <w:rFonts w:ascii="Times New Roman" w:hAnsi="Times New Roman" w:cs="Times New Roman"/>
          <w:b/>
          <w:sz w:val="24"/>
          <w:szCs w:val="24"/>
          <w:lang w:val="es-CO"/>
        </w:rPr>
        <w:t>de Control de</w:t>
      </w:r>
      <w:r w:rsidR="00F345DE" w:rsidRPr="00806544">
        <w:rPr>
          <w:rFonts w:ascii="Times New Roman" w:hAnsi="Times New Roman" w:cs="Times New Roman"/>
          <w:b/>
          <w:sz w:val="24"/>
          <w:szCs w:val="24"/>
          <w:lang w:val="es-CO"/>
        </w:rPr>
        <w:t xml:space="preserve"> Tabaco de </w:t>
      </w:r>
      <w:proofErr w:type="spellStart"/>
      <w:r w:rsidR="00F345DE" w:rsidRPr="00806544">
        <w:rPr>
          <w:rFonts w:ascii="Times New Roman" w:hAnsi="Times New Roman" w:cs="Times New Roman"/>
          <w:b/>
          <w:sz w:val="24"/>
          <w:szCs w:val="24"/>
          <w:lang w:val="es-CO"/>
        </w:rPr>
        <w:t>Corporate</w:t>
      </w:r>
      <w:proofErr w:type="spellEnd"/>
      <w:r w:rsidR="00F345DE" w:rsidRPr="00806544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proofErr w:type="spellStart"/>
      <w:r w:rsidR="00F345DE" w:rsidRPr="00806544">
        <w:rPr>
          <w:rFonts w:ascii="Times New Roman" w:hAnsi="Times New Roman" w:cs="Times New Roman"/>
          <w:b/>
          <w:sz w:val="24"/>
          <w:szCs w:val="24"/>
          <w:lang w:val="es-CO"/>
        </w:rPr>
        <w:t>Accountability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>. “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>Los gobiernos deben utilizar todas las herramientas de que disponen, en particular el artículo 19 del CMCT de la OMS o la disposición sobre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la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responsabilidad, para que las </w:t>
      </w:r>
      <w:hyperlink r:id="rId14" w:history="1">
        <w:r w:rsidR="00F345DE" w:rsidRPr="00806544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grandes tabacaleras paguen</w:t>
        </w:r>
      </w:hyperlink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por los costes sociales de sus peligrosos productos".</w:t>
      </w:r>
    </w:p>
    <w:p w:rsidR="00F345DE" w:rsidRPr="00086549" w:rsidRDefault="00F345DE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086549">
        <w:rPr>
          <w:rFonts w:ascii="Times New Roman" w:hAnsi="Times New Roman" w:cs="Times New Roman"/>
          <w:sz w:val="24"/>
          <w:szCs w:val="24"/>
          <w:lang w:val="es-CO"/>
        </w:rPr>
        <w:t>Es urgente contrarrestar la interferencia de</w:t>
      </w:r>
      <w:r w:rsidR="007B3429">
        <w:rPr>
          <w:rFonts w:ascii="Times New Roman" w:hAnsi="Times New Roman" w:cs="Times New Roman"/>
          <w:sz w:val="24"/>
          <w:szCs w:val="24"/>
          <w:lang w:val="es-CO"/>
        </w:rPr>
        <w:t xml:space="preserve"> la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B3429">
        <w:rPr>
          <w:rFonts w:ascii="Times New Roman" w:hAnsi="Times New Roman" w:cs="Times New Roman"/>
          <w:sz w:val="24"/>
          <w:szCs w:val="24"/>
          <w:lang w:val="es-CO"/>
        </w:rPr>
        <w:t>IT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, ya que </w:t>
      </w:r>
      <w:r w:rsidR="007B3429">
        <w:rPr>
          <w:rFonts w:ascii="Times New Roman" w:hAnsi="Times New Roman" w:cs="Times New Roman"/>
          <w:sz w:val="24"/>
          <w:szCs w:val="24"/>
          <w:lang w:val="es-CO"/>
        </w:rPr>
        <w:t xml:space="preserve">en el 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2023 y 2024 </w:t>
      </w:r>
      <w:r w:rsidR="007B3429">
        <w:rPr>
          <w:rFonts w:ascii="Times New Roman" w:hAnsi="Times New Roman" w:cs="Times New Roman"/>
          <w:sz w:val="24"/>
          <w:szCs w:val="24"/>
          <w:lang w:val="es-CO"/>
        </w:rPr>
        <w:t xml:space="preserve">se 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presentan importantes oportunidades para los esfuerzos </w:t>
      </w:r>
      <w:r w:rsidR="007B3429">
        <w:rPr>
          <w:rFonts w:ascii="Times New Roman" w:hAnsi="Times New Roman" w:cs="Times New Roman"/>
          <w:sz w:val="24"/>
          <w:szCs w:val="24"/>
          <w:lang w:val="es-CO"/>
        </w:rPr>
        <w:t xml:space="preserve">en materia 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de control del tabaco. La COP10 y la MOP3, previstas inicialmente para noviembre de 2023, tendrán lugar en </w:t>
      </w:r>
      <w:hyperlink r:id="rId15" w:history="1">
        <w:r w:rsidR="007B3429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Panamá del 5 al 15 de F</w:t>
        </w:r>
        <w:r w:rsidRPr="007B3429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ebrero</w:t>
        </w:r>
        <w:r w:rsidR="007B3429" w:rsidRPr="007B3429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 xml:space="preserve"> de 2024</w:t>
        </w:r>
      </w:hyperlink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.  A nivel mundial, el Comité Intergubernamental de Negociación (CIN) comenzó a elaborar en noviembre de 2022 un instrumento internacional jurídicamente vinculante sobre la contaminación por plásticos, que </w:t>
      </w:r>
      <w:hyperlink r:id="rId16" w:history="1">
        <w:r w:rsidRPr="007B3429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será clave para controlar la producción de plásticos altamente contaminantes contenidos en los filtros de los cigarrillos, los cigarrillos electrónicos y los productos</w:t>
        </w:r>
        <w:r w:rsidR="007B3429" w:rsidRPr="007B3429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 xml:space="preserve"> de</w:t>
        </w:r>
        <w:r w:rsidRPr="007B3429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 xml:space="preserve"> </w:t>
        </w:r>
        <w:proofErr w:type="spellStart"/>
        <w:r w:rsidRPr="007B3429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vap</w:t>
        </w:r>
        <w:r w:rsidR="007B3429" w:rsidRPr="007B3429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eo</w:t>
        </w:r>
        <w:proofErr w:type="spellEnd"/>
      </w:hyperlink>
      <w:r w:rsidRPr="00086549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F345DE" w:rsidRPr="007B3429" w:rsidRDefault="007B3429" w:rsidP="007B3429">
      <w:pPr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“</w:t>
      </w:r>
      <w:r w:rsidRPr="007B3429">
        <w:rPr>
          <w:rFonts w:ascii="Times New Roman" w:hAnsi="Times New Roman" w:cs="Times New Roman"/>
          <w:sz w:val="24"/>
          <w:szCs w:val="24"/>
          <w:lang w:val="es-CO"/>
        </w:rPr>
        <w:t xml:space="preserve">La industria tabacalera se beneficia de un producto que mata, empobrece a personas y países y destruye el medio ambiente. Es una industria que prospera atrayendo nuevos usuarios y manteniéndolos adictos, incluso si eso significa matar a casi la mitad de ellos. A pesar de esta cruel realidad, los esfuerzos de la industria por socavar el </w:t>
      </w:r>
      <w:r w:rsidR="006F3D28">
        <w:rPr>
          <w:rFonts w:ascii="Times New Roman" w:hAnsi="Times New Roman" w:cs="Times New Roman"/>
          <w:sz w:val="24"/>
          <w:szCs w:val="24"/>
          <w:lang w:val="es-CO"/>
        </w:rPr>
        <w:t>control del tabaco nunca cesan.</w:t>
      </w:r>
      <w:r w:rsidR="00E8446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7B3429">
        <w:rPr>
          <w:rFonts w:ascii="Times New Roman" w:hAnsi="Times New Roman" w:cs="Times New Roman"/>
          <w:sz w:val="24"/>
          <w:szCs w:val="24"/>
          <w:lang w:val="es-CO"/>
        </w:rPr>
        <w:t>El Índice Global del Tabaco da cuenta de las atroces tácticas de la industria. Sólo la implementación integral del CMCT de la OMS, en particular el Artículo 5.3 y sus Directrices para la implementación, detendrá el problema</w:t>
      </w:r>
      <w:r>
        <w:rPr>
          <w:rFonts w:ascii="Times New Roman" w:hAnsi="Times New Roman" w:cs="Times New Roman"/>
          <w:sz w:val="24"/>
          <w:szCs w:val="24"/>
          <w:lang w:val="es-CO"/>
        </w:rPr>
        <w:t>”</w:t>
      </w:r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, ha declarado la </w:t>
      </w:r>
      <w:r w:rsidR="00F345DE" w:rsidRPr="007B3429">
        <w:rPr>
          <w:rFonts w:ascii="Times New Roman" w:hAnsi="Times New Roman" w:cs="Times New Roman"/>
          <w:b/>
          <w:sz w:val="24"/>
          <w:szCs w:val="24"/>
          <w:lang w:val="es-CO"/>
        </w:rPr>
        <w:t xml:space="preserve">Dra. Adriana Blanco </w:t>
      </w:r>
      <w:proofErr w:type="spellStart"/>
      <w:r w:rsidR="00F345DE" w:rsidRPr="007B3429">
        <w:rPr>
          <w:rFonts w:ascii="Times New Roman" w:hAnsi="Times New Roman" w:cs="Times New Roman"/>
          <w:b/>
          <w:sz w:val="24"/>
          <w:szCs w:val="24"/>
          <w:lang w:val="es-CO"/>
        </w:rPr>
        <w:t>Marquizo</w:t>
      </w:r>
      <w:proofErr w:type="spellEnd"/>
      <w:r w:rsidR="00F345DE" w:rsidRPr="007B3429">
        <w:rPr>
          <w:rFonts w:ascii="Times New Roman" w:hAnsi="Times New Roman" w:cs="Times New Roman"/>
          <w:b/>
          <w:sz w:val="24"/>
          <w:szCs w:val="24"/>
          <w:lang w:val="es-CO"/>
        </w:rPr>
        <w:t>, Jef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a de la Secretaría del </w:t>
      </w:r>
      <w:r w:rsidR="00F345DE" w:rsidRPr="007B3429">
        <w:rPr>
          <w:rFonts w:ascii="Times New Roman" w:hAnsi="Times New Roman" w:cs="Times New Roman"/>
          <w:b/>
          <w:sz w:val="24"/>
          <w:szCs w:val="24"/>
          <w:lang w:val="es-CO"/>
        </w:rPr>
        <w:t xml:space="preserve">CMCT de la OMS. </w:t>
      </w:r>
    </w:p>
    <w:p w:rsidR="00F345DE" w:rsidRPr="00086549" w:rsidRDefault="00F345DE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086549">
        <w:rPr>
          <w:rFonts w:ascii="Times New Roman" w:hAnsi="Times New Roman" w:cs="Times New Roman"/>
          <w:sz w:val="24"/>
          <w:szCs w:val="24"/>
          <w:lang w:val="es-CO"/>
        </w:rPr>
        <w:t>Para más información o para hablar con un portavoz de</w:t>
      </w:r>
      <w:r w:rsidR="007B3429">
        <w:rPr>
          <w:rFonts w:ascii="Times New Roman" w:hAnsi="Times New Roman" w:cs="Times New Roman"/>
          <w:sz w:val="24"/>
          <w:szCs w:val="24"/>
          <w:lang w:val="es-CO"/>
        </w:rPr>
        <w:t>l índice regional de Interferencia</w:t>
      </w: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, póngase en contacto con </w:t>
      </w:r>
      <w:hyperlink r:id="rId17" w:history="1">
        <w:r w:rsidR="007B3429" w:rsidRPr="00E653D7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media@corporateaccountability.org</w:t>
        </w:r>
      </w:hyperlink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F345DE" w:rsidRPr="00086549" w:rsidRDefault="00F345DE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086549">
        <w:rPr>
          <w:rFonts w:ascii="Times New Roman" w:hAnsi="Times New Roman" w:cs="Times New Roman"/>
          <w:sz w:val="24"/>
          <w:szCs w:val="24"/>
          <w:lang w:val="es-CO"/>
        </w:rPr>
        <w:lastRenderedPageBreak/>
        <w:t>###</w:t>
      </w:r>
    </w:p>
    <w:p w:rsidR="00F345DE" w:rsidRPr="00086549" w:rsidRDefault="00D12C09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8" w:history="1">
        <w:proofErr w:type="spellStart"/>
        <w:r w:rsidR="00F345DE" w:rsidRPr="007B3429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s-CO"/>
          </w:rPr>
          <w:t>Corporate</w:t>
        </w:r>
        <w:proofErr w:type="spellEnd"/>
        <w:r w:rsidR="00F345DE" w:rsidRPr="007B3429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s-CO"/>
          </w:rPr>
          <w:t xml:space="preserve"> </w:t>
        </w:r>
        <w:proofErr w:type="spellStart"/>
        <w:r w:rsidR="00F345DE" w:rsidRPr="007B3429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s-CO"/>
          </w:rPr>
          <w:t>Accountability</w:t>
        </w:r>
        <w:proofErr w:type="spellEnd"/>
      </w:hyperlink>
      <w:r w:rsidR="00F345DE"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es una organización no gubernamental que impide que las empresas transnacionales devasten la democracia, violen los derechos human</w:t>
      </w:r>
      <w:r w:rsidR="007B3429">
        <w:rPr>
          <w:rFonts w:ascii="Times New Roman" w:hAnsi="Times New Roman" w:cs="Times New Roman"/>
          <w:sz w:val="24"/>
          <w:szCs w:val="24"/>
          <w:lang w:val="es-CO"/>
        </w:rPr>
        <w:t>os y destruyan nuestro planeta.</w:t>
      </w:r>
    </w:p>
    <w:p w:rsidR="00F345DE" w:rsidRPr="00086549" w:rsidRDefault="00F345DE" w:rsidP="007B3429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El </w:t>
      </w:r>
      <w:hyperlink r:id="rId19" w:history="1">
        <w:r w:rsidRPr="007B3429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s-CO"/>
          </w:rPr>
          <w:t>Centro Global para la Buena Gobernanza en el Control del Tabaco (GGTC)</w:t>
        </w:r>
      </w:hyperlink>
      <w:r w:rsidRPr="00086549">
        <w:rPr>
          <w:rFonts w:ascii="Times New Roman" w:hAnsi="Times New Roman" w:cs="Times New Roman"/>
          <w:sz w:val="24"/>
          <w:szCs w:val="24"/>
          <w:lang w:val="es-CO"/>
        </w:rPr>
        <w:t xml:space="preserve"> colabora con defensores, gobiernos e instituciones de todo el mundo para hacer frente al mayor obstáculo en la implementación del control del tabaco: la interferencia de la industria tabacalera. Su misión es dotar a los agentes del cambio de estrategias y herramientas de vanguardia para garantizar que la salud de millones de personas en todo el mundo no sufra a manos de la industria tabacalera.</w:t>
      </w:r>
    </w:p>
    <w:sectPr w:rsidR="00F345DE" w:rsidRPr="00086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E547A"/>
    <w:multiLevelType w:val="hybridMultilevel"/>
    <w:tmpl w:val="3104B944"/>
    <w:lvl w:ilvl="0" w:tplc="9DA07C3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DE"/>
    <w:rsid w:val="00086549"/>
    <w:rsid w:val="000D1F1A"/>
    <w:rsid w:val="001842C8"/>
    <w:rsid w:val="002D4D3B"/>
    <w:rsid w:val="003E5CA8"/>
    <w:rsid w:val="004911D5"/>
    <w:rsid w:val="0068268F"/>
    <w:rsid w:val="006F3D28"/>
    <w:rsid w:val="007B3429"/>
    <w:rsid w:val="00806544"/>
    <w:rsid w:val="0098711E"/>
    <w:rsid w:val="00D12C09"/>
    <w:rsid w:val="00D13C5B"/>
    <w:rsid w:val="00E84461"/>
    <w:rsid w:val="00F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9603-9EF6-4876-9449-6F66169B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54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4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C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42C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accountability.org/who-we-are/" TargetMode="External"/><Relationship Id="rId13" Type="http://schemas.openxmlformats.org/officeDocument/2006/relationships/hyperlink" Target="https://fctc.who.int/es/who-fctc/development-assistance/investment-cases" TargetMode="External"/><Relationship Id="rId18" Type="http://schemas.openxmlformats.org/officeDocument/2006/relationships/hyperlink" Target="https://corporateaccountability.org/who-we-ar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ctc.who.int/es/publications/m/item/guidelines-for-implementation-of-article-5.3" TargetMode="External"/><Relationship Id="rId12" Type="http://schemas.openxmlformats.org/officeDocument/2006/relationships/hyperlink" Target="http://exposetobacco.org/global-index/" TargetMode="External"/><Relationship Id="rId17" Type="http://schemas.openxmlformats.org/officeDocument/2006/relationships/hyperlink" Target="mailto:media@corporateaccountability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ggtc.world/actions/campaigns/petitions/stop-tobacco-pollution-allia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ctc.who.int/es/publications/i/item/9241591013" TargetMode="External"/><Relationship Id="rId11" Type="http://schemas.openxmlformats.org/officeDocument/2006/relationships/hyperlink" Target="https://fctc.who.int/es/newsroom/news/item/27-11-2023-dates-announced-for-the-resumed-in-person-sessions-of-cop10-and-mop3" TargetMode="External"/><Relationship Id="rId5" Type="http://schemas.openxmlformats.org/officeDocument/2006/relationships/hyperlink" Target="https://globaltobaccoindex.org/regions/latin-america" TargetMode="External"/><Relationship Id="rId15" Type="http://schemas.openxmlformats.org/officeDocument/2006/relationships/hyperlink" Target="https://fctc.who.int/es/newsroom/news/item/27-11-2023-dates-announced-for-the-resumed-in-person-sessions-of-cop10-and-mop3" TargetMode="External"/><Relationship Id="rId10" Type="http://schemas.openxmlformats.org/officeDocument/2006/relationships/hyperlink" Target="https://globaltobaccoindex.org/regions/latin-america" TargetMode="External"/><Relationship Id="rId19" Type="http://schemas.openxmlformats.org/officeDocument/2006/relationships/hyperlink" Target="https://ggtc.wor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gtc.world/" TargetMode="External"/><Relationship Id="rId14" Type="http://schemas.openxmlformats.org/officeDocument/2006/relationships/hyperlink" Target="https://actionnetwork.org/petitions/que-las-grandes-tabacaleras-pagu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2023-12-11T12:34:00Z</dcterms:created>
  <dcterms:modified xsi:type="dcterms:W3CDTF">2023-12-11T12:34:00Z</dcterms:modified>
</cp:coreProperties>
</file>