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5F3A3" w14:textId="77777777" w:rsidR="00AE74DA" w:rsidRDefault="00AE74DA" w:rsidP="00AE74DA">
      <w:pPr>
        <w:pBdr>
          <w:top w:val="nil"/>
          <w:left w:val="nil"/>
          <w:bottom w:val="nil"/>
          <w:right w:val="nil"/>
          <w:between w:val="nil"/>
        </w:pBdr>
        <w:shd w:val="clear" w:color="auto" w:fill="FFFFFF"/>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32"/>
          <w:szCs w:val="32"/>
        </w:rPr>
        <w:t>REPORT: Big Tobacco intensifies interference in public policymaking across Latin America and Caribbean</w:t>
      </w:r>
      <w:r>
        <w:rPr>
          <w:rFonts w:ascii="Times New Roman" w:eastAsia="Times New Roman" w:hAnsi="Times New Roman" w:cs="Times New Roman"/>
          <w:b/>
          <w:color w:val="000000"/>
        </w:rPr>
        <w:br/>
      </w:r>
      <w:r>
        <w:rPr>
          <w:rFonts w:ascii="Times New Roman" w:eastAsia="Times New Roman" w:hAnsi="Times New Roman" w:cs="Times New Roman"/>
          <w:color w:val="000000"/>
          <w:sz w:val="28"/>
          <w:szCs w:val="28"/>
        </w:rPr>
        <w:t>Regional Index ranks 19 countries; shows worsening trend ahead of global tobacco treaty talks</w:t>
      </w:r>
    </w:p>
    <w:p w14:paraId="6B807806" w14:textId="55321289" w:rsidR="00AE74DA" w:rsidRDefault="00AE74DA" w:rsidP="00AE74DA">
      <w:pPr>
        <w:spacing w:before="280" w:after="280"/>
        <w:rPr>
          <w:rFonts w:ascii="Times New Roman" w:eastAsia="Times New Roman" w:hAnsi="Times New Roman" w:cs="Times New Roman"/>
        </w:rPr>
      </w:pPr>
      <w:r>
        <w:rPr>
          <w:rFonts w:ascii="Times New Roman" w:eastAsia="Times New Roman" w:hAnsi="Times New Roman" w:cs="Times New Roman"/>
          <w:b/>
        </w:rPr>
        <w:t xml:space="preserve">Quito, Ecuador and Bangkok, Thailand </w:t>
      </w:r>
      <w:r>
        <w:rPr>
          <w:rFonts w:ascii="Times New Roman" w:eastAsia="Times New Roman" w:hAnsi="Times New Roman" w:cs="Times New Roman"/>
        </w:rPr>
        <w:t>– Powerful tobacco corporations have increased their influence on governments across Latin America and the Caribbean, hindering efforts to reduce tobacco use and hold the tobacco industry (TI) accountable for its harms, according to a new report.</w:t>
      </w:r>
    </w:p>
    <w:p w14:paraId="3A8966C8" w14:textId="77777777" w:rsidR="00AE74DA" w:rsidRDefault="00AE74DA" w:rsidP="00AE74DA">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The</w:t>
      </w:r>
      <w:r w:rsidRPr="00A43048">
        <w:rPr>
          <w:rFonts w:ascii="Times New Roman" w:eastAsia="Times New Roman" w:hAnsi="Times New Roman" w:cs="Times New Roman"/>
          <w:color w:val="0000FF"/>
        </w:rPr>
        <w:t xml:space="preserve"> </w:t>
      </w:r>
      <w:hyperlink r:id="rId5" w:history="1">
        <w:r w:rsidRPr="00A43048">
          <w:rPr>
            <w:rStyle w:val="Hyperlink"/>
            <w:rFonts w:ascii="Times New Roman" w:eastAsia="Times New Roman" w:hAnsi="Times New Roman" w:cs="Times New Roman"/>
            <w:color w:val="0000FF"/>
          </w:rPr>
          <w:t>2023 Regional Tobacco Industry Interference Index</w:t>
        </w:r>
      </w:hyperlink>
      <w:r>
        <w:rPr>
          <w:rFonts w:ascii="Times New Roman" w:eastAsia="Times New Roman" w:hAnsi="Times New Roman" w:cs="Times New Roman"/>
          <w:color w:val="000000"/>
        </w:rPr>
        <w:t xml:space="preserve">, the third in its series, evaluates countries’ efforts to protect public health policies from TI interests as mandated by </w:t>
      </w:r>
      <w:hyperlink r:id="rId6" w:history="1">
        <w:r w:rsidRPr="00A43048">
          <w:rPr>
            <w:rStyle w:val="Hyperlink"/>
            <w:rFonts w:ascii="Times New Roman" w:eastAsia="Times New Roman" w:hAnsi="Times New Roman" w:cs="Times New Roman"/>
            <w:color w:val="0000FF"/>
          </w:rPr>
          <w:t>Article 5.3</w:t>
        </w:r>
      </w:hyperlink>
      <w:r>
        <w:rPr>
          <w:rFonts w:ascii="Times New Roman" w:eastAsia="Times New Roman" w:hAnsi="Times New Roman" w:cs="Times New Roman"/>
          <w:color w:val="000000"/>
        </w:rPr>
        <w:t xml:space="preserve"> of </w:t>
      </w:r>
      <w:hyperlink r:id="rId7">
        <w:r>
          <w:rPr>
            <w:rFonts w:ascii="Times New Roman" w:eastAsia="Times New Roman" w:hAnsi="Times New Roman" w:cs="Times New Roman"/>
            <w:color w:val="0000FF"/>
            <w:u w:val="single"/>
          </w:rPr>
          <w:t>the WHO Framework Convention on Tobacco Control (WHO FCTC)</w:t>
        </w:r>
      </w:hyperlink>
      <w:r>
        <w:rPr>
          <w:rFonts w:ascii="Times New Roman" w:eastAsia="Times New Roman" w:hAnsi="Times New Roman" w:cs="Times New Roman"/>
          <w:color w:val="000000"/>
        </w:rPr>
        <w:t xml:space="preserve">. It </w:t>
      </w:r>
      <w:r w:rsidRPr="00C05053">
        <w:rPr>
          <w:rFonts w:ascii="Times New Roman" w:eastAsia="Times New Roman" w:hAnsi="Times New Roman" w:cs="Times New Roman"/>
          <w:color w:val="000000"/>
        </w:rPr>
        <w:t>utiliz</w:t>
      </w:r>
      <w:r>
        <w:rPr>
          <w:rFonts w:ascii="Times New Roman" w:eastAsia="Times New Roman" w:hAnsi="Times New Roman" w:cs="Times New Roman"/>
          <w:color w:val="000000"/>
        </w:rPr>
        <w:t>ed</w:t>
      </w:r>
      <w:r w:rsidRPr="00C05053">
        <w:rPr>
          <w:rFonts w:ascii="Times New Roman" w:eastAsia="Times New Roman" w:hAnsi="Times New Roman" w:cs="Times New Roman"/>
          <w:color w:val="000000"/>
        </w:rPr>
        <w:t xml:space="preserve"> civil</w:t>
      </w:r>
      <w:r>
        <w:rPr>
          <w:rFonts w:ascii="Times New Roman" w:eastAsia="Times New Roman" w:hAnsi="Times New Roman" w:cs="Times New Roman"/>
          <w:color w:val="000000"/>
        </w:rPr>
        <w:t xml:space="preserve"> </w:t>
      </w:r>
      <w:r w:rsidRPr="00C05053">
        <w:rPr>
          <w:rFonts w:ascii="Times New Roman" w:eastAsia="Times New Roman" w:hAnsi="Times New Roman" w:cs="Times New Roman"/>
          <w:color w:val="000000"/>
        </w:rPr>
        <w:t>society reports based on publicly available information</w:t>
      </w:r>
      <w:r>
        <w:rPr>
          <w:rFonts w:ascii="Times New Roman" w:eastAsia="Times New Roman" w:hAnsi="Times New Roman" w:cs="Times New Roman"/>
          <w:color w:val="000000"/>
        </w:rPr>
        <w:t xml:space="preserve"> on</w:t>
      </w:r>
      <w:r w:rsidRPr="00C05053">
        <w:rPr>
          <w:rFonts w:ascii="Times New Roman" w:eastAsia="Times New Roman" w:hAnsi="Times New Roman" w:cs="Times New Roman"/>
          <w:color w:val="000000"/>
        </w:rPr>
        <w:t xml:space="preserve"> tobacco industry interference</w:t>
      </w:r>
      <w:r>
        <w:rPr>
          <w:rFonts w:ascii="Times New Roman" w:eastAsia="Times New Roman" w:hAnsi="Times New Roman" w:cs="Times New Roman"/>
          <w:color w:val="000000"/>
        </w:rPr>
        <w:t xml:space="preserve"> in </w:t>
      </w:r>
      <w:r w:rsidRPr="00C05053">
        <w:rPr>
          <w:rFonts w:ascii="Times New Roman" w:eastAsia="Times New Roman" w:hAnsi="Times New Roman" w:cs="Times New Roman"/>
          <w:color w:val="000000"/>
        </w:rPr>
        <w:t xml:space="preserve">countries </w:t>
      </w:r>
      <w:r>
        <w:rPr>
          <w:rFonts w:ascii="Times New Roman" w:eastAsia="Times New Roman" w:hAnsi="Times New Roman" w:cs="Times New Roman"/>
          <w:color w:val="000000"/>
        </w:rPr>
        <w:t>and their respective governments,</w:t>
      </w:r>
      <w:r w:rsidRPr="00C05053">
        <w:rPr>
          <w:rFonts w:ascii="Times New Roman" w:eastAsia="Times New Roman" w:hAnsi="Times New Roman" w:cs="Times New Roman"/>
          <w:color w:val="000000"/>
        </w:rPr>
        <w:t xml:space="preserve"> covering</w:t>
      </w:r>
      <w:r>
        <w:rPr>
          <w:rFonts w:ascii="Times New Roman" w:eastAsia="Times New Roman" w:hAnsi="Times New Roman" w:cs="Times New Roman"/>
          <w:color w:val="000000"/>
        </w:rPr>
        <w:t xml:space="preserve"> </w:t>
      </w:r>
      <w:r w:rsidRPr="00C05053">
        <w:rPr>
          <w:rFonts w:ascii="Times New Roman" w:eastAsia="Times New Roman" w:hAnsi="Times New Roman" w:cs="Times New Roman"/>
          <w:color w:val="000000"/>
        </w:rPr>
        <w:t xml:space="preserve">the period </w:t>
      </w:r>
      <w:r>
        <w:rPr>
          <w:rFonts w:ascii="Times New Roman" w:eastAsia="Times New Roman" w:hAnsi="Times New Roman" w:cs="Times New Roman"/>
          <w:color w:val="000000"/>
        </w:rPr>
        <w:t xml:space="preserve">of </w:t>
      </w:r>
      <w:r w:rsidRPr="00C05053">
        <w:rPr>
          <w:rFonts w:ascii="Times New Roman" w:eastAsia="Times New Roman" w:hAnsi="Times New Roman" w:cs="Times New Roman"/>
          <w:color w:val="000000"/>
        </w:rPr>
        <w:t xml:space="preserve">April 2021 </w:t>
      </w:r>
      <w:r>
        <w:rPr>
          <w:rFonts w:ascii="Times New Roman" w:eastAsia="Times New Roman" w:hAnsi="Times New Roman" w:cs="Times New Roman"/>
          <w:color w:val="000000"/>
        </w:rPr>
        <w:t>to</w:t>
      </w:r>
      <w:r w:rsidRPr="00C05053">
        <w:rPr>
          <w:rFonts w:ascii="Times New Roman" w:eastAsia="Times New Roman" w:hAnsi="Times New Roman" w:cs="Times New Roman"/>
          <w:color w:val="000000"/>
        </w:rPr>
        <w:t xml:space="preserve"> March 2023.</w:t>
      </w:r>
      <w:r>
        <w:rPr>
          <w:rFonts w:ascii="Times New Roman" w:eastAsia="Times New Roman" w:hAnsi="Times New Roman" w:cs="Times New Roman"/>
          <w:color w:val="000000"/>
        </w:rPr>
        <w:t xml:space="preserve"> The index is produced by </w:t>
      </w:r>
      <w:hyperlink r:id="rId8">
        <w:r>
          <w:rPr>
            <w:rFonts w:ascii="Times New Roman" w:eastAsia="Times New Roman" w:hAnsi="Times New Roman" w:cs="Times New Roman"/>
            <w:color w:val="0000FF"/>
            <w:u w:val="single"/>
          </w:rPr>
          <w:t>Corporate Accountability</w:t>
        </w:r>
      </w:hyperlink>
      <w:r>
        <w:rPr>
          <w:rFonts w:ascii="Times New Roman" w:eastAsia="Times New Roman" w:hAnsi="Times New Roman" w:cs="Times New Roman"/>
          <w:color w:val="000000"/>
        </w:rPr>
        <w:t xml:space="preserve"> and the </w:t>
      </w:r>
      <w:hyperlink r:id="rId9">
        <w:r>
          <w:rPr>
            <w:rFonts w:ascii="Times New Roman" w:eastAsia="Times New Roman" w:hAnsi="Times New Roman" w:cs="Times New Roman"/>
            <w:color w:val="0000FF"/>
            <w:u w:val="single"/>
          </w:rPr>
          <w:t>Global Center for Good Governance in Tobacco Control</w:t>
        </w:r>
      </w:hyperlink>
      <w:r>
        <w:rPr>
          <w:rFonts w:ascii="Times New Roman" w:eastAsia="Times New Roman" w:hAnsi="Times New Roman" w:cs="Times New Roman"/>
          <w:color w:val="000000"/>
        </w:rPr>
        <w:t xml:space="preserve"> (GGTC), with the support of Bloomberg Philanthropies.</w:t>
      </w:r>
      <w:r>
        <w:rPr>
          <w:rFonts w:ascii="Times New Roman" w:eastAsia="Times New Roman" w:hAnsi="Times New Roman" w:cs="Times New Roman"/>
          <w:color w:val="000000"/>
        </w:rPr>
        <w:br/>
      </w:r>
    </w:p>
    <w:p w14:paraId="4438D003" w14:textId="77777777" w:rsidR="00AE74DA" w:rsidRDefault="00AE74DA" w:rsidP="00AE74DA">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Of the 19 countries analyzed, only 6 improved their score (</w:t>
      </w:r>
      <w:r>
        <w:rPr>
          <w:rFonts w:ascii="Times New Roman" w:eastAsia="Times New Roman" w:hAnsi="Times New Roman" w:cs="Times New Roman"/>
          <w:b/>
          <w:color w:val="000000"/>
        </w:rPr>
        <w:t>Panama, Nicaragua, Mexico, Ecuador, Guatemala and Argentina</w:t>
      </w:r>
      <w:r>
        <w:rPr>
          <w:rFonts w:ascii="Times New Roman" w:eastAsia="Times New Roman" w:hAnsi="Times New Roman" w:cs="Times New Roman"/>
          <w:color w:val="000000"/>
        </w:rPr>
        <w:t xml:space="preserve">) and one held steady </w:t>
      </w:r>
      <w:r>
        <w:rPr>
          <w:rFonts w:ascii="Times New Roman" w:eastAsia="Times New Roman" w:hAnsi="Times New Roman" w:cs="Times New Roman"/>
          <w:b/>
          <w:color w:val="000000"/>
        </w:rPr>
        <w:t>(Venezuela)</w:t>
      </w:r>
      <w:r>
        <w:rPr>
          <w:rFonts w:ascii="Times New Roman" w:eastAsia="Times New Roman" w:hAnsi="Times New Roman" w:cs="Times New Roman"/>
          <w:color w:val="000000"/>
        </w:rPr>
        <w:t xml:space="preserve"> compared to </w:t>
      </w:r>
      <w:hyperlink r:id="rId10" w:history="1">
        <w:r w:rsidRPr="00A43048">
          <w:rPr>
            <w:rStyle w:val="Hyperlink"/>
            <w:rFonts w:ascii="Times New Roman" w:eastAsia="Times New Roman" w:hAnsi="Times New Roman" w:cs="Times New Roman"/>
            <w:color w:val="0000FF"/>
          </w:rPr>
          <w:t>the last index in 2021</w:t>
        </w:r>
      </w:hyperlink>
      <w:r>
        <w:rPr>
          <w:rFonts w:ascii="Times New Roman" w:eastAsia="Times New Roman" w:hAnsi="Times New Roman" w:cs="Times New Roman"/>
          <w:color w:val="000000"/>
        </w:rPr>
        <w:t>. The remaining 11 countries showed deterioration in their efforts to safeguard policymaking from TI interference (</w:t>
      </w:r>
      <w:r>
        <w:rPr>
          <w:rFonts w:ascii="Times New Roman" w:eastAsia="Times New Roman" w:hAnsi="Times New Roman" w:cs="Times New Roman"/>
          <w:b/>
          <w:color w:val="000000"/>
        </w:rPr>
        <w:t>Costa Rica, Peru, Chile, El Salvador, Uruguay, Brazil, Bolivia, Honduras, Paraguay, Colombia and Dominican Republic</w:t>
      </w:r>
      <w:r>
        <w:rPr>
          <w:rFonts w:ascii="Times New Roman" w:eastAsia="Times New Roman" w:hAnsi="Times New Roman" w:cs="Times New Roman"/>
          <w:color w:val="000000"/>
        </w:rPr>
        <w:t>). One country (</w:t>
      </w:r>
      <w:r w:rsidRPr="009969C6">
        <w:rPr>
          <w:rFonts w:ascii="Times New Roman" w:eastAsia="Times New Roman" w:hAnsi="Times New Roman" w:cs="Times New Roman"/>
          <w:b/>
          <w:bCs/>
          <w:color w:val="000000"/>
        </w:rPr>
        <w:t>Jamaica</w:t>
      </w:r>
      <w:r>
        <w:rPr>
          <w:rFonts w:ascii="Times New Roman" w:eastAsia="Times New Roman" w:hAnsi="Times New Roman" w:cs="Times New Roman"/>
          <w:color w:val="000000"/>
        </w:rPr>
        <w:t>) was included in the index for the first time.</w:t>
      </w:r>
    </w:p>
    <w:p w14:paraId="5290D642" w14:textId="77777777" w:rsidR="00AE74DA" w:rsidRDefault="00AE74DA" w:rsidP="00AE74DA">
      <w:pPr>
        <w:pBdr>
          <w:top w:val="nil"/>
          <w:left w:val="nil"/>
          <w:bottom w:val="nil"/>
          <w:right w:val="nil"/>
          <w:between w:val="nil"/>
        </w:pBdr>
        <w:shd w:val="clear" w:color="auto" w:fill="FFFFFF"/>
        <w:rPr>
          <w:rFonts w:ascii="Times New Roman" w:eastAsia="Times New Roman" w:hAnsi="Times New Roman" w:cs="Times New Roman"/>
          <w:color w:val="000000"/>
        </w:rPr>
      </w:pPr>
    </w:p>
    <w:p w14:paraId="27A99C94" w14:textId="77777777" w:rsidR="00AE74DA" w:rsidRDefault="00AE74DA" w:rsidP="00AE74DA">
      <w:pPr>
        <w:rPr>
          <w:rFonts w:ascii="Times New Roman" w:eastAsia="Times New Roman" w:hAnsi="Times New Roman" w:cs="Times New Roman"/>
        </w:rPr>
      </w:pPr>
      <w:r>
        <w:rPr>
          <w:rFonts w:ascii="Times New Roman" w:eastAsia="Times New Roman" w:hAnsi="Times New Roman" w:cs="Times New Roman"/>
        </w:rPr>
        <w:t>“</w:t>
      </w:r>
      <w:r w:rsidRPr="008D60C5">
        <w:rPr>
          <w:rFonts w:ascii="Times New Roman" w:eastAsia="Times New Roman" w:hAnsi="Times New Roman" w:cs="Times New Roman"/>
        </w:rPr>
        <w:t xml:space="preserve">More countries deteriorated in Latin America compared to countries that improved. Big </w:t>
      </w:r>
      <w:r>
        <w:rPr>
          <w:rFonts w:ascii="Times New Roman" w:eastAsia="Times New Roman" w:hAnsi="Times New Roman" w:cs="Times New Roman"/>
        </w:rPr>
        <w:t>T</w:t>
      </w:r>
      <w:r w:rsidRPr="008D60C5">
        <w:rPr>
          <w:rFonts w:ascii="Times New Roman" w:eastAsia="Times New Roman" w:hAnsi="Times New Roman" w:cs="Times New Roman"/>
        </w:rPr>
        <w:t>obacco wants</w:t>
      </w:r>
      <w:r>
        <w:rPr>
          <w:rFonts w:ascii="Times New Roman" w:eastAsia="Times New Roman" w:hAnsi="Times New Roman" w:cs="Times New Roman"/>
        </w:rPr>
        <w:t xml:space="preserve"> to expand its market in</w:t>
      </w:r>
      <w:r w:rsidRPr="008D60C5">
        <w:rPr>
          <w:rFonts w:ascii="Times New Roman" w:eastAsia="Times New Roman" w:hAnsi="Times New Roman" w:cs="Times New Roman"/>
        </w:rPr>
        <w:t xml:space="preserve"> large Latin</w:t>
      </w:r>
      <w:r>
        <w:rPr>
          <w:rFonts w:ascii="Times New Roman" w:eastAsia="Times New Roman" w:hAnsi="Times New Roman" w:cs="Times New Roman"/>
        </w:rPr>
        <w:t xml:space="preserve"> </w:t>
      </w:r>
      <w:r w:rsidRPr="008D60C5">
        <w:rPr>
          <w:rFonts w:ascii="Times New Roman" w:eastAsia="Times New Roman" w:hAnsi="Times New Roman" w:cs="Times New Roman"/>
        </w:rPr>
        <w:t>American countries</w:t>
      </w:r>
      <w:r>
        <w:rPr>
          <w:rFonts w:ascii="Times New Roman" w:eastAsia="Times New Roman" w:hAnsi="Times New Roman" w:cs="Times New Roman"/>
        </w:rPr>
        <w:t>, especially for</w:t>
      </w:r>
      <w:r w:rsidRPr="008D60C5">
        <w:rPr>
          <w:rFonts w:ascii="Times New Roman" w:eastAsia="Times New Roman" w:hAnsi="Times New Roman" w:cs="Times New Roman"/>
        </w:rPr>
        <w:t xml:space="preserve"> the sale of e-cigarettes and new tobacco products, so they have increased their interference</w:t>
      </w:r>
      <w:r>
        <w:rPr>
          <w:rFonts w:ascii="Times New Roman" w:eastAsia="Times New Roman" w:hAnsi="Times New Roman" w:cs="Times New Roman"/>
        </w:rPr>
        <w:t xml:space="preserve">,” said </w:t>
      </w:r>
      <w:r w:rsidRPr="00AE74DA">
        <w:rPr>
          <w:rFonts w:ascii="Times New Roman" w:eastAsia="Times New Roman" w:hAnsi="Times New Roman" w:cs="Times New Roman"/>
          <w:b/>
          <w:bCs/>
        </w:rPr>
        <w:t xml:space="preserve">Laura Salgado, Head of Campaign and Partnership at GGTC. </w:t>
      </w:r>
      <w:r>
        <w:rPr>
          <w:rFonts w:ascii="Times New Roman" w:eastAsia="Times New Roman" w:hAnsi="Times New Roman" w:cs="Times New Roman"/>
        </w:rPr>
        <w:t xml:space="preserve">“They also target </w:t>
      </w:r>
      <w:r w:rsidRPr="008D60C5">
        <w:rPr>
          <w:rFonts w:ascii="Times New Roman" w:eastAsia="Times New Roman" w:hAnsi="Times New Roman" w:cs="Times New Roman"/>
        </w:rPr>
        <w:t xml:space="preserve">countries with strong tobacco control measures such </w:t>
      </w:r>
      <w:r>
        <w:rPr>
          <w:rFonts w:ascii="Times New Roman" w:eastAsia="Times New Roman" w:hAnsi="Times New Roman" w:cs="Times New Roman"/>
        </w:rPr>
        <w:t xml:space="preserve">as </w:t>
      </w:r>
      <w:r w:rsidRPr="008D60C5">
        <w:rPr>
          <w:rFonts w:ascii="Times New Roman" w:eastAsia="Times New Roman" w:hAnsi="Times New Roman" w:cs="Times New Roman"/>
        </w:rPr>
        <w:t>Uruguay</w:t>
      </w:r>
      <w:r>
        <w:rPr>
          <w:rFonts w:ascii="Times New Roman" w:eastAsia="Times New Roman" w:hAnsi="Times New Roman" w:cs="Times New Roman"/>
        </w:rPr>
        <w:t xml:space="preserve">, which is now facing an onslaught of </w:t>
      </w:r>
      <w:proofErr w:type="gramStart"/>
      <w:r>
        <w:rPr>
          <w:rFonts w:ascii="Times New Roman" w:eastAsia="Times New Roman" w:hAnsi="Times New Roman" w:cs="Times New Roman"/>
        </w:rPr>
        <w:t>interference</w:t>
      </w:r>
      <w:proofErr w:type="gramEnd"/>
      <w:r>
        <w:rPr>
          <w:rFonts w:ascii="Times New Roman" w:eastAsia="Times New Roman" w:hAnsi="Times New Roman" w:cs="Times New Roman"/>
        </w:rPr>
        <w:t xml:space="preserve">. </w:t>
      </w:r>
      <w:r w:rsidRPr="008D60C5">
        <w:rPr>
          <w:rFonts w:ascii="Times New Roman" w:eastAsia="Times New Roman" w:hAnsi="Times New Roman" w:cs="Times New Roman"/>
        </w:rPr>
        <w:t xml:space="preserve">But the region has strong political will. They can address tobacco control because in the past they demonstrated strong political will to do </w:t>
      </w:r>
      <w:r>
        <w:rPr>
          <w:rFonts w:ascii="Times New Roman" w:eastAsia="Times New Roman" w:hAnsi="Times New Roman" w:cs="Times New Roman"/>
        </w:rPr>
        <w:t>so.”</w:t>
      </w:r>
      <w:r w:rsidRPr="008D60C5" w:rsidDel="008D60C5">
        <w:rPr>
          <w:rFonts w:ascii="Times New Roman" w:eastAsia="Times New Roman" w:hAnsi="Times New Roman" w:cs="Times New Roman"/>
        </w:rPr>
        <w:t xml:space="preserve"> </w:t>
      </w:r>
    </w:p>
    <w:p w14:paraId="6FEB0EF4" w14:textId="77777777" w:rsidR="00AE74DA" w:rsidRDefault="00AE74DA" w:rsidP="00AE74DA">
      <w:pPr>
        <w:pBdr>
          <w:top w:val="nil"/>
          <w:left w:val="nil"/>
          <w:bottom w:val="nil"/>
          <w:right w:val="nil"/>
          <w:between w:val="nil"/>
        </w:pBdr>
        <w:shd w:val="clear" w:color="auto" w:fill="FFFFFF"/>
        <w:rPr>
          <w:rFonts w:ascii="Times New Roman" w:eastAsia="Times New Roman" w:hAnsi="Times New Roman" w:cs="Times New Roman"/>
          <w:color w:val="000000"/>
        </w:rPr>
      </w:pPr>
    </w:p>
    <w:p w14:paraId="197893A5" w14:textId="77777777" w:rsidR="00AE74DA" w:rsidRDefault="00AE74DA" w:rsidP="00AE74DA">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Countries were scored on a </w:t>
      </w:r>
      <w:bookmarkStart w:id="0" w:name="_GoBack"/>
      <w:r w:rsidRPr="0001651C">
        <w:rPr>
          <w:rFonts w:ascii="Times New Roman" w:eastAsia="Times New Roman" w:hAnsi="Times New Roman" w:cs="Times New Roman"/>
          <w:b/>
          <w:color w:val="000000"/>
        </w:rPr>
        <w:t>scale of 0 to 100</w:t>
      </w:r>
      <w:bookmarkEnd w:id="0"/>
      <w:r>
        <w:rPr>
          <w:rFonts w:ascii="Times New Roman" w:eastAsia="Times New Roman" w:hAnsi="Times New Roman" w:cs="Times New Roman"/>
          <w:color w:val="000000"/>
        </w:rPr>
        <w:t xml:space="preserve">, with higher scores indicating greater tobacco industry interference. Key findings include: </w:t>
      </w:r>
      <w:r>
        <w:rPr>
          <w:rFonts w:ascii="Times New Roman" w:eastAsia="Times New Roman" w:hAnsi="Times New Roman" w:cs="Times New Roman"/>
          <w:color w:val="000000"/>
        </w:rPr>
        <w:br/>
      </w:r>
    </w:p>
    <w:p w14:paraId="41C4E979" w14:textId="6E4D1E45" w:rsidR="00AE74DA" w:rsidRDefault="00AE74DA" w:rsidP="00AE74DA">
      <w:pPr>
        <w:numPr>
          <w:ilvl w:val="0"/>
          <w:numId w:val="1"/>
        </w:numPr>
        <w:pBdr>
          <w:top w:val="nil"/>
          <w:left w:val="nil"/>
          <w:bottom w:val="nil"/>
          <w:right w:val="nil"/>
          <w:between w:val="nil"/>
        </w:pBdr>
        <w:shd w:val="clear" w:color="auto" w:fill="FFFFFF"/>
      </w:pPr>
      <w:r>
        <w:rPr>
          <w:rFonts w:ascii="Times New Roman" w:eastAsia="Times New Roman" w:hAnsi="Times New Roman" w:cs="Times New Roman"/>
          <w:b/>
          <w:color w:val="000000"/>
        </w:rPr>
        <w:t>Panama</w:t>
      </w:r>
      <w:r>
        <w:rPr>
          <w:rFonts w:ascii="Times New Roman" w:eastAsia="Times New Roman" w:hAnsi="Times New Roman" w:cs="Times New Roman"/>
          <w:color w:val="000000"/>
        </w:rPr>
        <w:t xml:space="preserve">, the host country of the upcoming </w:t>
      </w:r>
      <w:hyperlink r:id="rId11" w:history="1">
        <w:r w:rsidRPr="00806E3F">
          <w:rPr>
            <w:rStyle w:val="Hyperlink"/>
            <w:rFonts w:ascii="Times New Roman" w:eastAsia="Times New Roman" w:hAnsi="Times New Roman" w:cs="Times New Roman"/>
            <w:color w:val="0000FF"/>
          </w:rPr>
          <w:t>WHO FCTC Conference of the Parties (COP10)</w:t>
        </w:r>
        <w:r w:rsidR="00A43048" w:rsidRPr="00806E3F">
          <w:rPr>
            <w:rStyle w:val="Hyperlink"/>
            <w:rFonts w:ascii="Times New Roman" w:eastAsia="Times New Roman" w:hAnsi="Times New Roman" w:cs="Times New Roman"/>
            <w:color w:val="0000FF"/>
          </w:rPr>
          <w:t xml:space="preserve"> and the third Meeting of the Parties (MOP3)</w:t>
        </w:r>
      </w:hyperlink>
      <w:r>
        <w:rPr>
          <w:rFonts w:ascii="Times New Roman" w:eastAsia="Times New Roman" w:hAnsi="Times New Roman" w:cs="Times New Roman"/>
          <w:color w:val="000000"/>
        </w:rPr>
        <w:t xml:space="preserve">, ranked best among the group, followed by </w:t>
      </w:r>
      <w:r>
        <w:rPr>
          <w:rFonts w:ascii="Times New Roman" w:eastAsia="Times New Roman" w:hAnsi="Times New Roman" w:cs="Times New Roman"/>
          <w:b/>
          <w:color w:val="000000"/>
        </w:rPr>
        <w:t xml:space="preserve">Nicaragua, Jamaica, </w:t>
      </w:r>
      <w:r>
        <w:rPr>
          <w:rFonts w:ascii="Times New Roman" w:eastAsia="Times New Roman" w:hAnsi="Times New Roman" w:cs="Times New Roman"/>
          <w:color w:val="000000"/>
        </w:rPr>
        <w:t xml:space="preserve">and </w:t>
      </w:r>
      <w:r>
        <w:rPr>
          <w:rFonts w:ascii="Times New Roman" w:eastAsia="Times New Roman" w:hAnsi="Times New Roman" w:cs="Times New Roman"/>
          <w:b/>
          <w:color w:val="000000"/>
        </w:rPr>
        <w:t xml:space="preserve">Mexico. </w:t>
      </w:r>
    </w:p>
    <w:p w14:paraId="3A3D9A34" w14:textId="77777777" w:rsidR="00AE74DA" w:rsidRDefault="00AE74DA" w:rsidP="00AE74DA">
      <w:pPr>
        <w:numPr>
          <w:ilvl w:val="0"/>
          <w:numId w:val="1"/>
        </w:numPr>
        <w:pBdr>
          <w:top w:val="nil"/>
          <w:left w:val="nil"/>
          <w:bottom w:val="nil"/>
          <w:right w:val="nil"/>
          <w:between w:val="nil"/>
        </w:pBdr>
        <w:shd w:val="clear" w:color="auto" w:fill="FFFFFF"/>
      </w:pPr>
      <w:r>
        <w:rPr>
          <w:rFonts w:ascii="Times New Roman" w:eastAsia="Times New Roman" w:hAnsi="Times New Roman" w:cs="Times New Roman"/>
          <w:color w:val="000000"/>
        </w:rPr>
        <w:t xml:space="preserve">The </w:t>
      </w:r>
      <w:r>
        <w:rPr>
          <w:rFonts w:ascii="Times New Roman" w:eastAsia="Times New Roman" w:hAnsi="Times New Roman" w:cs="Times New Roman"/>
          <w:b/>
          <w:color w:val="000000"/>
        </w:rPr>
        <w:t>Dominican Republic</w:t>
      </w:r>
      <w:r>
        <w:rPr>
          <w:rFonts w:ascii="Times New Roman" w:eastAsia="Times New Roman" w:hAnsi="Times New Roman" w:cs="Times New Roman"/>
          <w:color w:val="000000"/>
        </w:rPr>
        <w:t xml:space="preserve"> ranked worst for the second year in a row – both in the region and </w:t>
      </w:r>
      <w:hyperlink r:id="rId12">
        <w:r>
          <w:rPr>
            <w:rFonts w:ascii="Times New Roman" w:eastAsia="Times New Roman" w:hAnsi="Times New Roman" w:cs="Times New Roman"/>
            <w:color w:val="0000FF"/>
            <w:u w:val="single"/>
          </w:rPr>
          <w:t>globally</w:t>
        </w:r>
      </w:hyperlink>
      <w:r>
        <w:rPr>
          <w:rFonts w:ascii="Times New Roman" w:eastAsia="Times New Roman" w:hAnsi="Times New Roman" w:cs="Times New Roman"/>
          <w:color w:val="000000"/>
        </w:rPr>
        <w:t xml:space="preserve"> – with a maximum interference score of 100 out of 100. </w:t>
      </w:r>
    </w:p>
    <w:p w14:paraId="42C013C4" w14:textId="77777777" w:rsidR="00AE74DA" w:rsidRDefault="00AE74DA" w:rsidP="00AE74DA">
      <w:pPr>
        <w:numPr>
          <w:ilvl w:val="0"/>
          <w:numId w:val="1"/>
        </w:numPr>
        <w:pBdr>
          <w:top w:val="nil"/>
          <w:left w:val="nil"/>
          <w:bottom w:val="nil"/>
          <w:right w:val="nil"/>
          <w:between w:val="nil"/>
        </w:pBdr>
        <w:shd w:val="clear" w:color="auto" w:fill="FFFFFF"/>
      </w:pPr>
      <w:r>
        <w:rPr>
          <w:rFonts w:ascii="Times New Roman" w:eastAsia="Times New Roman" w:hAnsi="Times New Roman" w:cs="Times New Roman"/>
          <w:b/>
          <w:color w:val="000000"/>
        </w:rPr>
        <w:t>Costa Rica</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Honduras</w:t>
      </w:r>
      <w:r>
        <w:rPr>
          <w:rFonts w:ascii="Times New Roman" w:eastAsia="Times New Roman" w:hAnsi="Times New Roman" w:cs="Times New Roman"/>
          <w:color w:val="000000"/>
        </w:rPr>
        <w:t xml:space="preserve">, and </w:t>
      </w:r>
      <w:r>
        <w:rPr>
          <w:rFonts w:ascii="Times New Roman" w:eastAsia="Times New Roman" w:hAnsi="Times New Roman" w:cs="Times New Roman"/>
          <w:b/>
          <w:color w:val="000000"/>
        </w:rPr>
        <w:t>Uruguay</w:t>
      </w:r>
      <w:r>
        <w:rPr>
          <w:rFonts w:ascii="Times New Roman" w:eastAsia="Times New Roman" w:hAnsi="Times New Roman" w:cs="Times New Roman"/>
          <w:color w:val="000000"/>
        </w:rPr>
        <w:t xml:space="preserve"> showed the worst deterioration since 2021, while </w:t>
      </w:r>
      <w:r w:rsidRPr="00A92C26">
        <w:rPr>
          <w:rFonts w:ascii="Times New Roman" w:eastAsia="Times New Roman" w:hAnsi="Times New Roman" w:cs="Times New Roman"/>
          <w:b/>
          <w:color w:val="000000"/>
        </w:rPr>
        <w:t>Panama</w:t>
      </w:r>
      <w:r>
        <w:rPr>
          <w:rFonts w:ascii="Times New Roman" w:eastAsia="Times New Roman" w:hAnsi="Times New Roman" w:cs="Times New Roman"/>
          <w:color w:val="000000"/>
        </w:rPr>
        <w:t xml:space="preserve"> improved the most. </w:t>
      </w:r>
    </w:p>
    <w:p w14:paraId="6CD83DB4" w14:textId="053F8561" w:rsidR="00B15C6A" w:rsidRPr="00B15C6A" w:rsidRDefault="00A43048" w:rsidP="00B15C6A">
      <w:pPr>
        <w:spacing w:before="280" w:after="280"/>
        <w:rPr>
          <w:rFonts w:ascii="Times New Roman" w:eastAsia="Times New Roman" w:hAnsi="Times New Roman" w:cs="Times New Roman"/>
        </w:rPr>
      </w:pPr>
      <w:r>
        <w:rPr>
          <w:rFonts w:ascii="Times New Roman" w:eastAsia="Times New Roman" w:hAnsi="Times New Roman" w:cs="Times New Roman"/>
        </w:rPr>
        <w:lastRenderedPageBreak/>
        <w:t>“</w:t>
      </w:r>
      <w:r w:rsidR="00B15C6A" w:rsidRPr="00B15C6A">
        <w:rPr>
          <w:rFonts w:ascii="Times New Roman" w:eastAsia="Times New Roman" w:hAnsi="Times New Roman" w:cs="Times New Roman"/>
        </w:rPr>
        <w:t xml:space="preserve">At UNDP we’re using the findings of the Index to shape </w:t>
      </w:r>
      <w:hyperlink r:id="rId13" w:history="1">
        <w:r w:rsidR="00B15C6A" w:rsidRPr="008B35EE">
          <w:rPr>
            <w:rStyle w:val="Hyperlink"/>
            <w:rFonts w:ascii="Times New Roman" w:eastAsia="Times New Roman" w:hAnsi="Times New Roman" w:cs="Times New Roman"/>
            <w:color w:val="0000FF"/>
          </w:rPr>
          <w:t>tobacco control investment cases</w:t>
        </w:r>
      </w:hyperlink>
      <w:r w:rsidR="00B15C6A" w:rsidRPr="00B15C6A">
        <w:rPr>
          <w:rFonts w:ascii="Times New Roman" w:eastAsia="Times New Roman" w:hAnsi="Times New Roman" w:cs="Times New Roman"/>
        </w:rPr>
        <w:t xml:space="preserve">. We’ve tracked that addressing industry interference is now prioritized in four times as many investment cases now as in 2018. </w:t>
      </w:r>
      <w:r w:rsidR="00B15C6A">
        <w:rPr>
          <w:rFonts w:ascii="Times New Roman" w:eastAsia="Times New Roman" w:hAnsi="Times New Roman" w:cs="Times New Roman"/>
        </w:rPr>
        <w:t>But w</w:t>
      </w:r>
      <w:r w:rsidR="00B15C6A" w:rsidRPr="00B15C6A">
        <w:rPr>
          <w:rFonts w:ascii="Times New Roman" w:eastAsia="Times New Roman" w:hAnsi="Times New Roman" w:cs="Times New Roman"/>
        </w:rPr>
        <w:t xml:space="preserve">e still have work to do to help countries protect their health policies from industry interference,” said </w:t>
      </w:r>
      <w:r w:rsidR="00B15C6A" w:rsidRPr="00B15C6A">
        <w:rPr>
          <w:rFonts w:ascii="Times New Roman" w:eastAsia="Times New Roman" w:hAnsi="Times New Roman" w:cs="Times New Roman"/>
          <w:b/>
          <w:bCs/>
        </w:rPr>
        <w:t xml:space="preserve">Dudley </w:t>
      </w:r>
      <w:proofErr w:type="spellStart"/>
      <w:r w:rsidR="00B15C6A" w:rsidRPr="00B15C6A">
        <w:rPr>
          <w:rFonts w:ascii="Times New Roman" w:eastAsia="Times New Roman" w:hAnsi="Times New Roman" w:cs="Times New Roman"/>
          <w:b/>
          <w:bCs/>
        </w:rPr>
        <w:t>Tarlton</w:t>
      </w:r>
      <w:proofErr w:type="spellEnd"/>
      <w:r w:rsidR="00B15C6A" w:rsidRPr="00B15C6A">
        <w:rPr>
          <w:rFonts w:ascii="Times New Roman" w:eastAsia="Times New Roman" w:hAnsi="Times New Roman" w:cs="Times New Roman"/>
          <w:b/>
          <w:bCs/>
        </w:rPr>
        <w:t xml:space="preserve">, </w:t>
      </w:r>
      <w:proofErr w:type="spellStart"/>
      <w:r w:rsidR="00B15C6A" w:rsidRPr="00B15C6A">
        <w:rPr>
          <w:rFonts w:ascii="Times New Roman" w:eastAsia="Times New Roman" w:hAnsi="Times New Roman" w:cs="Times New Roman"/>
          <w:b/>
          <w:bCs/>
        </w:rPr>
        <w:t>Programme</w:t>
      </w:r>
      <w:proofErr w:type="spellEnd"/>
      <w:r w:rsidR="00B15C6A" w:rsidRPr="00B15C6A">
        <w:rPr>
          <w:rFonts w:ascii="Times New Roman" w:eastAsia="Times New Roman" w:hAnsi="Times New Roman" w:cs="Times New Roman"/>
          <w:b/>
          <w:bCs/>
        </w:rPr>
        <w:t xml:space="preserve"> Specialist United Nations Developing </w:t>
      </w:r>
      <w:proofErr w:type="spellStart"/>
      <w:r w:rsidR="00B15C6A" w:rsidRPr="00B15C6A">
        <w:rPr>
          <w:rFonts w:ascii="Times New Roman" w:eastAsia="Times New Roman" w:hAnsi="Times New Roman" w:cs="Times New Roman"/>
          <w:b/>
          <w:bCs/>
        </w:rPr>
        <w:t>Programme</w:t>
      </w:r>
      <w:proofErr w:type="spellEnd"/>
      <w:r w:rsidR="00B15C6A" w:rsidRPr="00B15C6A">
        <w:rPr>
          <w:rFonts w:ascii="Times New Roman" w:eastAsia="Times New Roman" w:hAnsi="Times New Roman" w:cs="Times New Roman"/>
          <w:b/>
          <w:bCs/>
        </w:rPr>
        <w:t xml:space="preserve"> (UNDP).</w:t>
      </w:r>
    </w:p>
    <w:p w14:paraId="3E00A219" w14:textId="444D8446" w:rsidR="00AE74DA" w:rsidRPr="00AE74DA" w:rsidRDefault="00AE74DA" w:rsidP="00AE74DA">
      <w:pPr>
        <w:pBdr>
          <w:top w:val="nil"/>
          <w:left w:val="nil"/>
          <w:bottom w:val="nil"/>
          <w:right w:val="nil"/>
          <w:between w:val="nil"/>
        </w:pBdr>
        <w:shd w:val="clear" w:color="auto" w:fill="FFFFFF"/>
      </w:pPr>
      <w:r w:rsidRPr="00B15C6A">
        <w:rPr>
          <w:rFonts w:ascii="Times New Roman" w:eastAsia="Times New Roman" w:hAnsi="Times New Roman" w:cs="Times New Roman"/>
          <w:b/>
          <w:bCs/>
          <w:color w:val="000000"/>
        </w:rPr>
        <w:t>No country analyzed was immune to tobacco industry efforts to influence policy and policymakers to its benefit</w:t>
      </w:r>
      <w:r w:rsidRPr="00AE74DA">
        <w:rPr>
          <w:rFonts w:ascii="Times New Roman" w:eastAsia="Times New Roman" w:hAnsi="Times New Roman" w:cs="Times New Roman"/>
          <w:color w:val="000000"/>
        </w:rPr>
        <w:t xml:space="preserve">, with tactics including lobbying, funding scientific studies, making political contributions, recruiting senior government officials, and pushing “corporate social responsibility” initiatives such as cigarette butt clean-ups. </w:t>
      </w:r>
    </w:p>
    <w:p w14:paraId="39576E93" w14:textId="0EF744A7" w:rsidR="00AE74DA" w:rsidRDefault="00AE74DA" w:rsidP="00AE74DA">
      <w:pPr>
        <w:spacing w:before="280" w:after="280"/>
        <w:rPr>
          <w:rFonts w:ascii="Times New Roman" w:eastAsia="Times New Roman" w:hAnsi="Times New Roman" w:cs="Times New Roman"/>
        </w:rPr>
      </w:pPr>
      <w:r>
        <w:rPr>
          <w:rFonts w:ascii="Times New Roman" w:eastAsia="Times New Roman" w:hAnsi="Times New Roman" w:cs="Times New Roman"/>
        </w:rPr>
        <w:t xml:space="preserve">“Big Tobacco uses ‘corporate social responsibility’ in an attempt to clean up its image while continuing its dirty business as usual. The industry’s meager handouts are nothing compared to the cost of the damages they wreak on people and the planet, nor the billions in profits they make every year,” said </w:t>
      </w:r>
      <w:r w:rsidRPr="00AE74DA">
        <w:rPr>
          <w:rFonts w:ascii="Times New Roman" w:eastAsia="Times New Roman" w:hAnsi="Times New Roman" w:cs="Times New Roman"/>
          <w:b/>
          <w:bCs/>
        </w:rPr>
        <w:t xml:space="preserve">Daniel Dorado, Tobacco Campaign Director at Corporate Accountability. </w:t>
      </w:r>
      <w:r>
        <w:rPr>
          <w:rFonts w:ascii="Times New Roman" w:eastAsia="Times New Roman" w:hAnsi="Times New Roman" w:cs="Times New Roman"/>
        </w:rPr>
        <w:t xml:space="preserve">“Governments need to use every tool they have, particularly Article 19 of the WHO FCTC or the liability provision, to </w:t>
      </w:r>
      <w:hyperlink r:id="rId14" w:history="1">
        <w:r w:rsidRPr="00A43048">
          <w:rPr>
            <w:rStyle w:val="Hyperlink"/>
            <w:rFonts w:ascii="Times New Roman" w:eastAsia="Times New Roman" w:hAnsi="Times New Roman" w:cs="Times New Roman"/>
            <w:color w:val="0000FF"/>
          </w:rPr>
          <w:t>make Big Tobacco pay</w:t>
        </w:r>
      </w:hyperlink>
      <w:r>
        <w:rPr>
          <w:rFonts w:ascii="Times New Roman" w:eastAsia="Times New Roman" w:hAnsi="Times New Roman" w:cs="Times New Roman"/>
        </w:rPr>
        <w:t xml:space="preserve"> for societal costs of its dangerous products.”</w:t>
      </w:r>
    </w:p>
    <w:p w14:paraId="6FD20D83" w14:textId="2035F8DF" w:rsidR="00AE74DA" w:rsidRDefault="00AE74DA" w:rsidP="00AE74DA">
      <w:pPr>
        <w:spacing w:before="280" w:after="280"/>
        <w:rPr>
          <w:rFonts w:ascii="Times New Roman" w:eastAsia="Times New Roman" w:hAnsi="Times New Roman" w:cs="Times New Roman"/>
        </w:rPr>
      </w:pPr>
      <w:r w:rsidRPr="00B15C6A">
        <w:rPr>
          <w:rFonts w:ascii="Times New Roman" w:eastAsia="Times New Roman" w:hAnsi="Times New Roman" w:cs="Times New Roman"/>
          <w:b/>
          <w:bCs/>
        </w:rPr>
        <w:t>There is an urgent need to counter TI interference, as 2023 and 2024 present important opportunities for tobacco control efforts.</w:t>
      </w:r>
      <w:r w:rsidR="00A43048">
        <w:rPr>
          <w:rFonts w:ascii="Times New Roman" w:eastAsia="Times New Roman" w:hAnsi="Times New Roman" w:cs="Times New Roman"/>
        </w:rPr>
        <w:t xml:space="preserve"> The </w:t>
      </w:r>
      <w:r w:rsidRPr="002F2B12">
        <w:rPr>
          <w:rFonts w:ascii="Times New Roman" w:eastAsia="Times New Roman" w:hAnsi="Times New Roman" w:cs="Times New Roman"/>
        </w:rPr>
        <w:t xml:space="preserve">COP10 and MOP3, originally scheduled for November 2023, will </w:t>
      </w:r>
      <w:hyperlink r:id="rId15" w:history="1">
        <w:r w:rsidRPr="00A43048">
          <w:rPr>
            <w:rStyle w:val="Hyperlink"/>
            <w:rFonts w:ascii="Times New Roman" w:eastAsia="Times New Roman" w:hAnsi="Times New Roman" w:cs="Times New Roman"/>
            <w:color w:val="0000FF"/>
          </w:rPr>
          <w:t>take place in Panama from February 5 to 15</w:t>
        </w:r>
      </w:hyperlink>
      <w:r w:rsidRPr="002F2B12">
        <w:rPr>
          <w:rFonts w:ascii="Times New Roman" w:eastAsia="Times New Roman" w:hAnsi="Times New Roman" w:cs="Times New Roman"/>
        </w:rPr>
        <w:t xml:space="preserve">.  At the global level, the Intergovernmental Negotiating Committee (INC) began developing in November 2022 an international, legally binding instrument on plastic pollution, </w:t>
      </w:r>
      <w:r>
        <w:rPr>
          <w:rFonts w:ascii="Times New Roman" w:eastAsia="Times New Roman" w:hAnsi="Times New Roman" w:cs="Times New Roman"/>
        </w:rPr>
        <w:t xml:space="preserve">which </w:t>
      </w:r>
      <w:r w:rsidRPr="002F2B12">
        <w:rPr>
          <w:rFonts w:ascii="Times New Roman" w:eastAsia="Times New Roman" w:hAnsi="Times New Roman" w:cs="Times New Roman"/>
        </w:rPr>
        <w:t xml:space="preserve">will be </w:t>
      </w:r>
      <w:hyperlink r:id="rId16" w:history="1">
        <w:r w:rsidRPr="00A43048">
          <w:rPr>
            <w:rStyle w:val="Hyperlink"/>
            <w:rFonts w:ascii="Times New Roman" w:eastAsia="Times New Roman" w:hAnsi="Times New Roman" w:cs="Times New Roman"/>
            <w:color w:val="0000FF"/>
          </w:rPr>
          <w:t>key to controlling the production of highly polluting plastics contained in cigarette filters, electronic cigarettes, and vaping products</w:t>
        </w:r>
      </w:hyperlink>
      <w:r w:rsidRPr="002F2B12">
        <w:rPr>
          <w:rFonts w:ascii="Times New Roman" w:eastAsia="Times New Roman" w:hAnsi="Times New Roman" w:cs="Times New Roman"/>
        </w:rPr>
        <w:t>.</w:t>
      </w:r>
    </w:p>
    <w:p w14:paraId="49760683" w14:textId="77777777" w:rsidR="00AE74DA" w:rsidRDefault="00AE74DA" w:rsidP="00AE74DA">
      <w:pPr>
        <w:spacing w:before="280" w:after="280"/>
        <w:rPr>
          <w:rFonts w:ascii="Times New Roman" w:eastAsia="Times New Roman" w:hAnsi="Times New Roman" w:cs="Times New Roman"/>
        </w:rPr>
      </w:pPr>
      <w:r w:rsidRPr="008D60C5">
        <w:rPr>
          <w:rFonts w:ascii="Times New Roman" w:eastAsia="Times New Roman" w:hAnsi="Times New Roman" w:cs="Times New Roman"/>
        </w:rPr>
        <w:t>“The tobacco industry profits from a product that kills, impoverishes people and countries, and destroys the environment. It is an industry that thrives by attracting new users and keeping them addicted, even if it means killing almost half of them. Despite these cruel realties, industry efforts to undermine tobacco control never cease.</w:t>
      </w:r>
      <w:r>
        <w:rPr>
          <w:rFonts w:ascii="Times New Roman" w:eastAsia="Times New Roman" w:hAnsi="Times New Roman" w:cs="Times New Roman"/>
        </w:rPr>
        <w:t xml:space="preserve"> </w:t>
      </w:r>
      <w:r w:rsidRPr="008D60C5">
        <w:rPr>
          <w:rFonts w:ascii="Times New Roman" w:eastAsia="Times New Roman" w:hAnsi="Times New Roman" w:cs="Times New Roman"/>
        </w:rPr>
        <w:t>The Global Tobacco Index chronicles the industry’s appalling tactics. Only the comprehensive implementation of the WHO FCTC, particularly Article 5.3 and its Guidelines for implem</w:t>
      </w:r>
      <w:r>
        <w:rPr>
          <w:rFonts w:ascii="Times New Roman" w:eastAsia="Times New Roman" w:hAnsi="Times New Roman" w:cs="Times New Roman"/>
        </w:rPr>
        <w:t xml:space="preserve">entation, will stop the problem,” said </w:t>
      </w:r>
      <w:r w:rsidRPr="00AE74DA">
        <w:rPr>
          <w:rFonts w:ascii="Times New Roman" w:eastAsia="Times New Roman" w:hAnsi="Times New Roman" w:cs="Times New Roman"/>
          <w:b/>
          <w:bCs/>
        </w:rPr>
        <w:t xml:space="preserve">Dr. Adriana Blanco </w:t>
      </w:r>
      <w:proofErr w:type="spellStart"/>
      <w:r w:rsidRPr="00AE74DA">
        <w:rPr>
          <w:rFonts w:ascii="Times New Roman" w:eastAsia="Times New Roman" w:hAnsi="Times New Roman" w:cs="Times New Roman"/>
          <w:b/>
          <w:bCs/>
        </w:rPr>
        <w:t>Marquizo</w:t>
      </w:r>
      <w:proofErr w:type="spellEnd"/>
      <w:r w:rsidRPr="00AE74DA">
        <w:rPr>
          <w:rFonts w:ascii="Times New Roman" w:eastAsia="Times New Roman" w:hAnsi="Times New Roman" w:cs="Times New Roman"/>
          <w:b/>
          <w:bCs/>
        </w:rPr>
        <w:t xml:space="preserve">, Head of the WHO FCTC Convention Secretariat. </w:t>
      </w:r>
    </w:p>
    <w:p w14:paraId="4CF380EA" w14:textId="2D241652" w:rsidR="00AE74DA" w:rsidRDefault="00AE74DA" w:rsidP="00AE74DA">
      <w:pPr>
        <w:spacing w:before="280" w:after="280"/>
        <w:rPr>
          <w:rFonts w:ascii="Times New Roman" w:eastAsia="Times New Roman" w:hAnsi="Times New Roman" w:cs="Times New Roman"/>
        </w:rPr>
      </w:pPr>
      <w:r>
        <w:rPr>
          <w:rFonts w:ascii="Times New Roman" w:eastAsia="Times New Roman" w:hAnsi="Times New Roman" w:cs="Times New Roman"/>
        </w:rPr>
        <w:t xml:space="preserve">For more information or to speak to an Index </w:t>
      </w:r>
      <w:r w:rsidRPr="00C05053">
        <w:rPr>
          <w:rFonts w:ascii="Times New Roman" w:eastAsia="Times New Roman" w:hAnsi="Times New Roman" w:cs="Times New Roman"/>
        </w:rPr>
        <w:t>spokesperson</w:t>
      </w:r>
      <w:r>
        <w:rPr>
          <w:rFonts w:ascii="Times New Roman" w:eastAsia="Times New Roman" w:hAnsi="Times New Roman" w:cs="Times New Roman"/>
        </w:rPr>
        <w:t xml:space="preserve">, please contact </w:t>
      </w:r>
      <w:hyperlink r:id="rId17" w:history="1">
        <w:r w:rsidRPr="008B35EE">
          <w:rPr>
            <w:rStyle w:val="Hyperlink"/>
            <w:rFonts w:ascii="Times New Roman" w:eastAsia="Times New Roman" w:hAnsi="Times New Roman" w:cs="Times New Roman"/>
            <w:color w:val="0000FF"/>
          </w:rPr>
          <w:t>media@corporateaccountability.org</w:t>
        </w:r>
      </w:hyperlink>
      <w:r>
        <w:rPr>
          <w:rFonts w:ascii="Times New Roman" w:eastAsia="Times New Roman" w:hAnsi="Times New Roman" w:cs="Times New Roman"/>
        </w:rPr>
        <w:t xml:space="preserve"> </w:t>
      </w:r>
    </w:p>
    <w:p w14:paraId="34A57856" w14:textId="77777777" w:rsidR="00AE74DA" w:rsidRDefault="00AE74DA" w:rsidP="00AE74DA">
      <w:pPr>
        <w:spacing w:before="280" w:after="280"/>
        <w:rPr>
          <w:rFonts w:ascii="Times New Roman" w:eastAsia="Times New Roman" w:hAnsi="Times New Roman" w:cs="Times New Roman"/>
        </w:rPr>
      </w:pPr>
      <w:r>
        <w:rPr>
          <w:rFonts w:ascii="Times New Roman" w:eastAsia="Times New Roman" w:hAnsi="Times New Roman" w:cs="Times New Roman"/>
        </w:rPr>
        <w:t>###</w:t>
      </w:r>
    </w:p>
    <w:p w14:paraId="4B06413A" w14:textId="26C82170" w:rsidR="00AE74DA" w:rsidRPr="00806E3F" w:rsidRDefault="0001651C" w:rsidP="00AE74DA">
      <w:pPr>
        <w:rPr>
          <w:rFonts w:ascii="Times New Roman" w:eastAsia="Times New Roman" w:hAnsi="Times New Roman" w:cs="Times New Roman"/>
          <w:i/>
          <w:iCs/>
          <w:sz w:val="22"/>
          <w:szCs w:val="22"/>
        </w:rPr>
      </w:pPr>
      <w:hyperlink r:id="rId18" w:history="1">
        <w:r w:rsidR="00AE74DA" w:rsidRPr="00806E3F">
          <w:rPr>
            <w:rStyle w:val="Hyperlink"/>
            <w:rFonts w:ascii="Times New Roman" w:eastAsia="Times New Roman" w:hAnsi="Times New Roman" w:cs="Times New Roman"/>
            <w:b/>
            <w:bCs/>
            <w:i/>
            <w:iCs/>
            <w:color w:val="0000FF"/>
            <w:sz w:val="22"/>
            <w:szCs w:val="22"/>
          </w:rPr>
          <w:t>Corporate Accountability</w:t>
        </w:r>
      </w:hyperlink>
      <w:r w:rsidR="00AE74DA" w:rsidRPr="00806E3F">
        <w:rPr>
          <w:rFonts w:ascii="Times New Roman" w:eastAsia="Times New Roman" w:hAnsi="Times New Roman" w:cs="Times New Roman"/>
          <w:i/>
          <w:iCs/>
          <w:sz w:val="22"/>
          <w:szCs w:val="22"/>
        </w:rPr>
        <w:t xml:space="preserve"> is a non-governmental organization that prevents transnational corporations from devastating democracy, violating human rights</w:t>
      </w:r>
      <w:r w:rsidR="00B15C6A" w:rsidRPr="00806E3F">
        <w:rPr>
          <w:rFonts w:ascii="Times New Roman" w:eastAsia="Times New Roman" w:hAnsi="Times New Roman" w:cs="Times New Roman"/>
          <w:i/>
          <w:iCs/>
          <w:sz w:val="22"/>
          <w:szCs w:val="22"/>
        </w:rPr>
        <w:t>,</w:t>
      </w:r>
      <w:r w:rsidR="00AE74DA" w:rsidRPr="00806E3F">
        <w:rPr>
          <w:rFonts w:ascii="Times New Roman" w:eastAsia="Times New Roman" w:hAnsi="Times New Roman" w:cs="Times New Roman"/>
          <w:i/>
          <w:iCs/>
          <w:sz w:val="22"/>
          <w:szCs w:val="22"/>
        </w:rPr>
        <w:t xml:space="preserve"> and destroying our planet.</w:t>
      </w:r>
    </w:p>
    <w:p w14:paraId="542BEE08" w14:textId="4DA9963C" w:rsidR="00F238A4" w:rsidRDefault="00AE74DA">
      <w:r w:rsidRPr="00806E3F">
        <w:rPr>
          <w:rFonts w:ascii="Times New Roman" w:eastAsia="Times New Roman" w:hAnsi="Times New Roman" w:cs="Times New Roman"/>
          <w:b/>
          <w:bCs/>
          <w:i/>
          <w:iCs/>
          <w:sz w:val="22"/>
          <w:szCs w:val="22"/>
        </w:rPr>
        <w:br/>
      </w:r>
      <w:hyperlink r:id="rId19" w:history="1">
        <w:r w:rsidRPr="00806E3F">
          <w:rPr>
            <w:rStyle w:val="Hyperlink"/>
            <w:rFonts w:ascii="Times New Roman" w:eastAsia="Times New Roman" w:hAnsi="Times New Roman" w:cs="Times New Roman"/>
            <w:b/>
            <w:bCs/>
            <w:i/>
            <w:iCs/>
            <w:color w:val="0000FF"/>
            <w:sz w:val="22"/>
            <w:szCs w:val="22"/>
          </w:rPr>
          <w:t>The Global Center for Good Governance in Tobacco Control (GGTC</w:t>
        </w:r>
      </w:hyperlink>
      <w:r w:rsidRPr="00806E3F">
        <w:rPr>
          <w:rFonts w:ascii="Times New Roman" w:eastAsia="Times New Roman" w:hAnsi="Times New Roman" w:cs="Times New Roman"/>
          <w:b/>
          <w:bCs/>
          <w:i/>
          <w:iCs/>
          <w:color w:val="0000FF"/>
          <w:sz w:val="22"/>
          <w:szCs w:val="22"/>
        </w:rPr>
        <w:t>)</w:t>
      </w:r>
      <w:r w:rsidRPr="00806E3F">
        <w:rPr>
          <w:rFonts w:ascii="Times New Roman" w:eastAsia="Times New Roman" w:hAnsi="Times New Roman" w:cs="Times New Roman"/>
          <w:i/>
          <w:iCs/>
          <w:color w:val="0000FF"/>
          <w:sz w:val="22"/>
          <w:szCs w:val="22"/>
        </w:rPr>
        <w:t xml:space="preserve"> </w:t>
      </w:r>
      <w:r w:rsidRPr="00806E3F">
        <w:rPr>
          <w:rFonts w:ascii="Times New Roman" w:eastAsia="Times New Roman" w:hAnsi="Times New Roman" w:cs="Times New Roman"/>
          <w:i/>
          <w:iCs/>
          <w:sz w:val="22"/>
          <w:szCs w:val="22"/>
        </w:rPr>
        <w:t>collaborates with advocates, governments, and institutions worldwide to tackle the single greatest obstacle in tobacco control implementation: tobacco industry interference. Its mission is to equip change-makers with cutting-edge strategies and tools to ensure that the health of millions around the world would not suffer at the hands of the tobacco industry.</w:t>
      </w:r>
    </w:p>
    <w:sectPr w:rsidR="00F238A4">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08AEAE0" w16cex:dateUtc="2023-12-07T16:04:00Z"/>
  <w16cex:commentExtensible w16cex:durableId="5563F28D" w16cex:dateUtc="2023-12-07T15:48:00Z"/>
  <w16cex:commentExtensible w16cex:durableId="02DD0E9F" w16cex:dateUtc="2023-12-07T15:05:00Z"/>
  <w16cex:commentExtensible w16cex:durableId="33E97480" w16cex:dateUtc="2023-12-07T15:38:00Z"/>
  <w16cex:commentExtensible w16cex:durableId="2A719991" w16cex:dateUtc="2023-12-07T15:54:00Z"/>
  <w16cex:commentExtensible w16cex:durableId="796FBD10" w16cex:dateUtc="2023-12-07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653E57" w16cid:durableId="508AEAE0"/>
  <w16cid:commentId w16cid:paraId="29FCA282" w16cid:durableId="2393AE8D"/>
  <w16cid:commentId w16cid:paraId="18DAADF3" w16cid:durableId="5563F28D"/>
  <w16cid:commentId w16cid:paraId="184FFCD3" w16cid:durableId="1FF9AE28"/>
  <w16cid:commentId w16cid:paraId="3910488E" w16cid:durableId="02DD0E9F"/>
  <w16cid:commentId w16cid:paraId="40BC35CB" w16cid:durableId="6D697C85"/>
  <w16cid:commentId w16cid:paraId="04EBB8EB" w16cid:durableId="33E97480"/>
  <w16cid:commentId w16cid:paraId="6221C71E" w16cid:durableId="2A719991"/>
  <w16cid:commentId w16cid:paraId="21E86D66" w16cid:durableId="27619BA4"/>
  <w16cid:commentId w16cid:paraId="685D5732" w16cid:durableId="6D1BFC17"/>
  <w16cid:commentId w16cid:paraId="5FE6F5B3" w16cid:durableId="38B3557E"/>
  <w16cid:commentId w16cid:paraId="3A6CBA61" w16cid:durableId="51EDB07A"/>
  <w16cid:commentId w16cid:paraId="7836F9B8" w16cid:durableId="35EC7E0F"/>
  <w16cid:commentId w16cid:paraId="701709EB" w16cid:durableId="796FBD10"/>
  <w16cid:commentId w16cid:paraId="7BA9BE22" w16cid:durableId="7E44ED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F932B6"/>
    <w:multiLevelType w:val="multilevel"/>
    <w:tmpl w:val="3D5EB3CA"/>
    <w:lvl w:ilvl="0">
      <w:start w:val="202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DA"/>
    <w:rsid w:val="0001651C"/>
    <w:rsid w:val="001D1B46"/>
    <w:rsid w:val="0027396A"/>
    <w:rsid w:val="004166DF"/>
    <w:rsid w:val="004C7751"/>
    <w:rsid w:val="00806E3F"/>
    <w:rsid w:val="008B35EE"/>
    <w:rsid w:val="00A43048"/>
    <w:rsid w:val="00AE74DA"/>
    <w:rsid w:val="00B15C6A"/>
    <w:rsid w:val="00C1002D"/>
    <w:rsid w:val="00F2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3B5A"/>
  <w15:chartTrackingRefBased/>
  <w15:docId w15:val="{E25840C4-AF78-0D4E-97CE-DA57B1EA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74DA"/>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E74DA"/>
    <w:rPr>
      <w:sz w:val="20"/>
      <w:szCs w:val="20"/>
    </w:rPr>
  </w:style>
  <w:style w:type="character" w:customStyle="1" w:styleId="CommentTextChar">
    <w:name w:val="Comment Text Char"/>
    <w:basedOn w:val="DefaultParagraphFont"/>
    <w:link w:val="CommentText"/>
    <w:uiPriority w:val="99"/>
    <w:semiHidden/>
    <w:rsid w:val="00AE74DA"/>
    <w:rPr>
      <w:rFonts w:ascii="Calibri" w:eastAsia="Calibri" w:hAnsi="Calibri" w:cs="Calibri"/>
      <w:kern w:val="0"/>
      <w:sz w:val="20"/>
      <w:szCs w:val="20"/>
      <w14:ligatures w14:val="none"/>
    </w:rPr>
  </w:style>
  <w:style w:type="character" w:styleId="CommentReference">
    <w:name w:val="annotation reference"/>
    <w:basedOn w:val="DefaultParagraphFont"/>
    <w:uiPriority w:val="99"/>
    <w:semiHidden/>
    <w:unhideWhenUsed/>
    <w:rsid w:val="00AE74DA"/>
    <w:rPr>
      <w:sz w:val="16"/>
      <w:szCs w:val="16"/>
    </w:rPr>
  </w:style>
  <w:style w:type="character" w:styleId="Hyperlink">
    <w:name w:val="Hyperlink"/>
    <w:basedOn w:val="DefaultParagraphFont"/>
    <w:uiPriority w:val="99"/>
    <w:unhideWhenUsed/>
    <w:rsid w:val="00AE74DA"/>
    <w:rPr>
      <w:color w:val="0563C1" w:themeColor="hyperlink"/>
      <w:u w:val="single"/>
    </w:rPr>
  </w:style>
  <w:style w:type="character" w:styleId="FollowedHyperlink">
    <w:name w:val="FollowedHyperlink"/>
    <w:basedOn w:val="DefaultParagraphFont"/>
    <w:uiPriority w:val="99"/>
    <w:semiHidden/>
    <w:unhideWhenUsed/>
    <w:rsid w:val="00AE74DA"/>
    <w:rPr>
      <w:color w:val="954F72" w:themeColor="followedHyperlink"/>
      <w:u w:val="single"/>
    </w:rPr>
  </w:style>
  <w:style w:type="character" w:customStyle="1" w:styleId="UnresolvedMention">
    <w:name w:val="Unresolved Mention"/>
    <w:basedOn w:val="DefaultParagraphFont"/>
    <w:uiPriority w:val="99"/>
    <w:semiHidden/>
    <w:unhideWhenUsed/>
    <w:rsid w:val="00B15C6A"/>
    <w:rPr>
      <w:color w:val="605E5C"/>
      <w:shd w:val="clear" w:color="auto" w:fill="E1DFDD"/>
    </w:rPr>
  </w:style>
  <w:style w:type="paragraph" w:styleId="ListParagraph">
    <w:name w:val="List Paragraph"/>
    <w:basedOn w:val="Normal"/>
    <w:uiPriority w:val="34"/>
    <w:qFormat/>
    <w:rsid w:val="00B15C6A"/>
    <w:pPr>
      <w:ind w:left="720"/>
      <w:contextualSpacing/>
    </w:pPr>
  </w:style>
  <w:style w:type="paragraph" w:styleId="BalloonText">
    <w:name w:val="Balloon Text"/>
    <w:basedOn w:val="Normal"/>
    <w:link w:val="BalloonTextChar"/>
    <w:uiPriority w:val="99"/>
    <w:semiHidden/>
    <w:unhideWhenUsed/>
    <w:rsid w:val="00A43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048"/>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accountability.org/" TargetMode="External"/><Relationship Id="rId13" Type="http://schemas.openxmlformats.org/officeDocument/2006/relationships/hyperlink" Target="https://fctc.who.int/who-fctc/development-assistance/investment-cases" TargetMode="External"/><Relationship Id="rId18" Type="http://schemas.openxmlformats.org/officeDocument/2006/relationships/hyperlink" Target="https://corporateaccountability.org/who-we-a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ctc.who.int/publications/m/item/guidelines-for-implementation-of-article-5.3" TargetMode="External"/><Relationship Id="rId12" Type="http://schemas.openxmlformats.org/officeDocument/2006/relationships/hyperlink" Target="http://exposetobacco.org/global-index/" TargetMode="External"/><Relationship Id="rId17" Type="http://schemas.openxmlformats.org/officeDocument/2006/relationships/hyperlink" Target="mailto:media@corporateaccountability.org" TargetMode="External"/><Relationship Id="rId2" Type="http://schemas.openxmlformats.org/officeDocument/2006/relationships/styles" Target="styles.xml"/><Relationship Id="rId16" Type="http://schemas.openxmlformats.org/officeDocument/2006/relationships/hyperlink" Target="https://ggtc.world/actions/campaigns/petitions/stop-tobacco-pollution-allian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ctc.who.int/es/publications/9241591013" TargetMode="External"/><Relationship Id="rId11" Type="http://schemas.openxmlformats.org/officeDocument/2006/relationships/hyperlink" Target="https://fctc.who.int/newsroom/news/item/27-11-2023-dates-announced-for-the-resumed-in-person-sessions-of-cop10-and-mop3" TargetMode="External"/><Relationship Id="rId5" Type="http://schemas.openxmlformats.org/officeDocument/2006/relationships/hyperlink" Target="https://globaltobaccoindex.org/regions/latin-america" TargetMode="External"/><Relationship Id="rId15" Type="http://schemas.openxmlformats.org/officeDocument/2006/relationships/hyperlink" Target="https://fctc.who.int/newsroom/news/item/27-11-2023-dates-announced-for-the-resumed-in-person-sessions-of-cop10-and-mop3" TargetMode="External"/><Relationship Id="rId23" Type="http://schemas.microsoft.com/office/2016/09/relationships/commentsIds" Target="commentsIds.xml"/><Relationship Id="rId10" Type="http://schemas.openxmlformats.org/officeDocument/2006/relationships/hyperlink" Target="https://globaltobaccoindex.org/regions/latin-america" TargetMode="External"/><Relationship Id="rId19" Type="http://schemas.openxmlformats.org/officeDocument/2006/relationships/hyperlink" Target="https://ggtc.world/" TargetMode="External"/><Relationship Id="rId4" Type="http://schemas.openxmlformats.org/officeDocument/2006/relationships/webSettings" Target="webSettings.xml"/><Relationship Id="rId9" Type="http://schemas.openxmlformats.org/officeDocument/2006/relationships/hyperlink" Target="https://ggtc.world/" TargetMode="External"/><Relationship Id="rId14" Type="http://schemas.openxmlformats.org/officeDocument/2006/relationships/hyperlink" Target="https://www.makebigtobaccopay.org/take-action"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Slajda</dc:creator>
  <cp:keywords/>
  <dc:description/>
  <cp:lastModifiedBy>Autor</cp:lastModifiedBy>
  <cp:revision>3</cp:revision>
  <cp:lastPrinted>2023-12-08T17:34:00Z</cp:lastPrinted>
  <dcterms:created xsi:type="dcterms:W3CDTF">2023-12-10T17:34:00Z</dcterms:created>
  <dcterms:modified xsi:type="dcterms:W3CDTF">2023-12-10T17:51:00Z</dcterms:modified>
</cp:coreProperties>
</file>